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5227" w14:textId="5E706A32" w:rsidR="000B3942" w:rsidRPr="00392BCF" w:rsidRDefault="00890787" w:rsidP="00773BDE">
      <w:pPr>
        <w:spacing w:after="0" w:line="240" w:lineRule="auto"/>
        <w:jc w:val="center"/>
        <w:rPr>
          <w:rFonts w:asciiTheme="majorBidi" w:hAnsiTheme="majorBidi" w:cstheme="majorBidi"/>
          <w:b/>
          <w:bCs/>
        </w:rPr>
      </w:pPr>
      <w:r w:rsidRPr="00392BCF">
        <w:rPr>
          <w:rFonts w:asciiTheme="majorBidi" w:hAnsiTheme="majorBidi" w:cstheme="majorBidi"/>
          <w:b/>
          <w:bCs/>
        </w:rPr>
        <w:t xml:space="preserve">Hutang Piutang </w:t>
      </w:r>
      <w:r w:rsidRPr="00392BCF">
        <w:rPr>
          <w:rFonts w:asciiTheme="majorBidi" w:hAnsiTheme="majorBidi" w:cstheme="majorBidi"/>
          <w:b/>
          <w:bCs/>
          <w:lang w:val="id-ID"/>
        </w:rPr>
        <w:t xml:space="preserve">Dalam </w:t>
      </w:r>
      <w:r w:rsidRPr="00392BCF">
        <w:rPr>
          <w:rFonts w:asciiTheme="majorBidi" w:hAnsiTheme="majorBidi" w:cstheme="majorBidi"/>
          <w:b/>
          <w:bCs/>
        </w:rPr>
        <w:t xml:space="preserve">Penafsiran Abu </w:t>
      </w:r>
      <w:r w:rsidRPr="00392BCF">
        <w:rPr>
          <w:rFonts w:asciiTheme="majorBidi" w:hAnsiTheme="majorBidi" w:cstheme="majorBidi"/>
          <w:b/>
          <w:bCs/>
          <w:u w:val="single"/>
        </w:rPr>
        <w:t>H</w:t>
      </w:r>
      <w:r w:rsidRPr="00392BCF">
        <w:rPr>
          <w:rFonts w:asciiTheme="majorBidi" w:hAnsiTheme="majorBidi" w:cstheme="majorBidi"/>
          <w:b/>
          <w:bCs/>
        </w:rPr>
        <w:t>ayyân</w:t>
      </w:r>
      <w:r w:rsidRPr="00392BCF">
        <w:rPr>
          <w:rFonts w:asciiTheme="majorBidi" w:hAnsiTheme="majorBidi" w:cstheme="majorBidi"/>
          <w:b/>
          <w:bCs/>
          <w:lang w:val="id-ID"/>
        </w:rPr>
        <w:t>:</w:t>
      </w:r>
    </w:p>
    <w:p w14:paraId="4BB29BDA" w14:textId="1E11D9BB" w:rsidR="003A6BAF" w:rsidRPr="00392BCF" w:rsidRDefault="00890787" w:rsidP="00773BDE">
      <w:pPr>
        <w:spacing w:after="0" w:line="240" w:lineRule="auto"/>
        <w:jc w:val="center"/>
        <w:rPr>
          <w:rFonts w:asciiTheme="majorBidi" w:hAnsiTheme="majorBidi" w:cstheme="majorBidi"/>
          <w:b/>
          <w:bCs/>
          <w:i/>
          <w:iCs/>
        </w:rPr>
      </w:pPr>
      <w:r w:rsidRPr="00392BCF">
        <w:rPr>
          <w:rFonts w:asciiTheme="majorBidi" w:hAnsiTheme="majorBidi" w:cstheme="majorBidi"/>
          <w:b/>
          <w:bCs/>
          <w:lang w:val="id-ID"/>
        </w:rPr>
        <w:t xml:space="preserve">Studi </w:t>
      </w:r>
      <w:r w:rsidRPr="00392BCF">
        <w:rPr>
          <w:rFonts w:asciiTheme="majorBidi" w:hAnsiTheme="majorBidi" w:cstheme="majorBidi"/>
          <w:b/>
          <w:bCs/>
        </w:rPr>
        <w:t>Terhadap Ayat-Ayat Hukum</w:t>
      </w:r>
      <w:r w:rsidRPr="00392BCF">
        <w:rPr>
          <w:rFonts w:asciiTheme="majorBidi" w:hAnsiTheme="majorBidi" w:cstheme="majorBidi"/>
          <w:b/>
          <w:bCs/>
          <w:lang w:val="id-ID"/>
        </w:rPr>
        <w:t xml:space="preserve"> Dengan </w:t>
      </w:r>
      <w:r w:rsidRPr="00392BCF">
        <w:rPr>
          <w:rFonts w:asciiTheme="majorBidi" w:hAnsiTheme="majorBidi" w:cstheme="majorBidi"/>
          <w:b/>
          <w:bCs/>
        </w:rPr>
        <w:t xml:space="preserve">Analisis </w:t>
      </w:r>
      <w:r w:rsidRPr="00392BCF">
        <w:rPr>
          <w:rFonts w:asciiTheme="majorBidi" w:hAnsiTheme="majorBidi" w:cstheme="majorBidi"/>
          <w:b/>
          <w:bCs/>
          <w:i/>
          <w:iCs/>
        </w:rPr>
        <w:t>Qirâ`Ât Syâdzdzah</w:t>
      </w:r>
    </w:p>
    <w:p w14:paraId="2DDAA51D" w14:textId="77777777" w:rsidR="003A6BAF" w:rsidRPr="00392BCF" w:rsidRDefault="003A6BAF" w:rsidP="00773BDE">
      <w:pPr>
        <w:spacing w:after="0" w:line="240" w:lineRule="auto"/>
        <w:jc w:val="center"/>
        <w:rPr>
          <w:rFonts w:asciiTheme="majorBidi" w:hAnsiTheme="majorBidi" w:cstheme="majorBidi"/>
          <w:b/>
          <w:bCs/>
          <w:i/>
          <w:iCs/>
        </w:rPr>
      </w:pPr>
    </w:p>
    <w:p w14:paraId="04403731" w14:textId="77777777" w:rsidR="003A6BAF" w:rsidRPr="00392BCF" w:rsidRDefault="003A6BAF" w:rsidP="00773BDE">
      <w:pPr>
        <w:spacing w:after="0" w:line="240" w:lineRule="auto"/>
        <w:jc w:val="center"/>
        <w:rPr>
          <w:rFonts w:asciiTheme="majorBidi" w:hAnsiTheme="majorBidi" w:cstheme="majorBidi"/>
        </w:rPr>
      </w:pPr>
      <w:r w:rsidRPr="00392BCF">
        <w:rPr>
          <w:rFonts w:asciiTheme="majorBidi" w:hAnsiTheme="majorBidi" w:cstheme="majorBidi"/>
        </w:rPr>
        <w:t>Romlah Widayati</w:t>
      </w:r>
    </w:p>
    <w:p w14:paraId="24F87789" w14:textId="26ACCB9C" w:rsidR="00392BCF" w:rsidRPr="00392BCF" w:rsidRDefault="00392BCF" w:rsidP="00773BDE">
      <w:pPr>
        <w:spacing w:after="0" w:line="240" w:lineRule="auto"/>
        <w:jc w:val="center"/>
        <w:rPr>
          <w:rFonts w:asciiTheme="majorBidi" w:hAnsiTheme="majorBidi" w:cstheme="majorBidi"/>
          <w:i/>
          <w:iCs/>
        </w:rPr>
      </w:pPr>
      <w:r w:rsidRPr="00392BCF">
        <w:rPr>
          <w:rFonts w:asciiTheme="majorBidi" w:hAnsiTheme="majorBidi" w:cstheme="majorBidi"/>
          <w:i/>
          <w:iCs/>
        </w:rPr>
        <w:t>Institut Ilmu Al-Qur'an (IIQ) Jakarta</w:t>
      </w:r>
    </w:p>
    <w:p w14:paraId="2E91F917" w14:textId="77777777" w:rsidR="003A6BAF" w:rsidRPr="00392BCF" w:rsidRDefault="003A6BAF" w:rsidP="00773BDE">
      <w:pPr>
        <w:spacing w:after="0" w:line="240" w:lineRule="auto"/>
        <w:jc w:val="center"/>
        <w:rPr>
          <w:rFonts w:asciiTheme="majorBidi" w:hAnsiTheme="majorBidi" w:cstheme="majorBidi"/>
        </w:rPr>
      </w:pPr>
      <w:r w:rsidRPr="00392BCF">
        <w:rPr>
          <w:rFonts w:asciiTheme="majorBidi" w:hAnsiTheme="majorBidi" w:cstheme="majorBidi"/>
        </w:rPr>
        <w:t>romlah@iiq.ac.id</w:t>
      </w:r>
    </w:p>
    <w:p w14:paraId="76AE18DC" w14:textId="77777777" w:rsidR="003A6BAF" w:rsidRPr="00392BCF" w:rsidRDefault="003A6BAF" w:rsidP="00773BDE">
      <w:pPr>
        <w:spacing w:after="0" w:line="240" w:lineRule="auto"/>
        <w:jc w:val="center"/>
        <w:rPr>
          <w:rFonts w:asciiTheme="majorBidi" w:hAnsiTheme="majorBidi" w:cstheme="majorBidi"/>
        </w:rPr>
      </w:pPr>
    </w:p>
    <w:p w14:paraId="0FFCAF4E" w14:textId="4F08BF1E" w:rsidR="003A6BAF" w:rsidRPr="00392BCF" w:rsidRDefault="00392BCF" w:rsidP="00773BDE">
      <w:pPr>
        <w:spacing w:after="0" w:line="240" w:lineRule="auto"/>
        <w:jc w:val="center"/>
        <w:rPr>
          <w:rFonts w:asciiTheme="majorBidi" w:hAnsiTheme="majorBidi" w:cstheme="majorBidi"/>
          <w:lang w:val="id-ID"/>
        </w:rPr>
      </w:pPr>
      <w:r w:rsidRPr="00392BCF">
        <w:rPr>
          <w:rFonts w:asciiTheme="majorBidi" w:hAnsiTheme="majorBidi" w:cstheme="majorBidi"/>
          <w:lang w:val="id-ID"/>
        </w:rPr>
        <w:t>Saepullah</w:t>
      </w:r>
    </w:p>
    <w:p w14:paraId="662C5D6B" w14:textId="066FDE75" w:rsidR="00392BCF" w:rsidRPr="00392BCF" w:rsidRDefault="00392BCF" w:rsidP="00773BDE">
      <w:pPr>
        <w:spacing w:after="0" w:line="240" w:lineRule="auto"/>
        <w:jc w:val="center"/>
        <w:rPr>
          <w:rFonts w:asciiTheme="majorBidi" w:hAnsiTheme="majorBidi" w:cstheme="majorBidi"/>
          <w:i/>
          <w:iCs/>
        </w:rPr>
      </w:pPr>
      <w:r w:rsidRPr="00392BCF">
        <w:rPr>
          <w:rFonts w:asciiTheme="majorBidi" w:hAnsiTheme="majorBidi" w:cstheme="majorBidi"/>
          <w:i/>
          <w:iCs/>
        </w:rPr>
        <w:t>Institut Ilmu Al-Qur'an (IIQ) Jakarta</w:t>
      </w:r>
    </w:p>
    <w:p w14:paraId="6BDDEEB8" w14:textId="77777777" w:rsidR="003A6BAF" w:rsidRPr="00392BCF" w:rsidRDefault="003A6BAF" w:rsidP="00773BDE">
      <w:pPr>
        <w:spacing w:after="0" w:line="240" w:lineRule="auto"/>
        <w:jc w:val="center"/>
        <w:rPr>
          <w:rFonts w:asciiTheme="majorBidi" w:hAnsiTheme="majorBidi" w:cstheme="majorBidi"/>
          <w:lang w:val="id-ID"/>
        </w:rPr>
      </w:pPr>
      <w:r w:rsidRPr="00392BCF">
        <w:rPr>
          <w:rStyle w:val="Hyperlink"/>
          <w:rFonts w:asciiTheme="majorBidi" w:hAnsiTheme="majorBidi" w:cstheme="majorBidi"/>
          <w:color w:val="auto"/>
          <w:lang w:val="id-ID"/>
        </w:rPr>
        <w:t>saepullah@iiq.ac.id</w:t>
      </w:r>
    </w:p>
    <w:p w14:paraId="2EF08CB0" w14:textId="77777777" w:rsidR="00890787" w:rsidRPr="00392BCF" w:rsidRDefault="00890787" w:rsidP="005875DA">
      <w:pPr>
        <w:pStyle w:val="Heading3"/>
        <w:spacing w:after="120"/>
        <w:rPr>
          <w:rFonts w:asciiTheme="majorBidi" w:hAnsiTheme="majorBidi" w:cstheme="majorBidi"/>
        </w:rPr>
      </w:pPr>
    </w:p>
    <w:p w14:paraId="291FD2E0" w14:textId="77777777" w:rsidR="00392BCF" w:rsidRPr="00392BCF" w:rsidRDefault="00392BCF" w:rsidP="005875DA">
      <w:pPr>
        <w:spacing w:after="120" w:line="240" w:lineRule="auto"/>
        <w:jc w:val="center"/>
        <w:rPr>
          <w:rFonts w:asciiTheme="majorBidi" w:hAnsiTheme="majorBidi" w:cstheme="majorBidi"/>
          <w:lang w:val="id-ID" w:eastAsia="zh-CN"/>
        </w:rPr>
      </w:pPr>
      <w:r w:rsidRPr="00392BCF">
        <w:rPr>
          <w:rFonts w:asciiTheme="majorBidi" w:hAnsiTheme="majorBidi" w:cstheme="majorBidi"/>
          <w:lang w:val="id-ID" w:eastAsia="zh-CN"/>
        </w:rPr>
        <w:t>Abstract</w:t>
      </w:r>
    </w:p>
    <w:p w14:paraId="0CB5EAAD" w14:textId="77777777" w:rsidR="00392BCF" w:rsidRPr="00392BCF" w:rsidRDefault="00392BCF" w:rsidP="005875DA">
      <w:pPr>
        <w:spacing w:after="120" w:line="240" w:lineRule="auto"/>
        <w:jc w:val="center"/>
        <w:rPr>
          <w:rFonts w:asciiTheme="majorBidi" w:hAnsiTheme="majorBidi" w:cstheme="majorBidi"/>
          <w:lang w:val="id-ID" w:eastAsia="zh-CN"/>
        </w:rPr>
      </w:pPr>
    </w:p>
    <w:p w14:paraId="44E99D89" w14:textId="77777777" w:rsidR="00392BCF" w:rsidRPr="00392BCF" w:rsidRDefault="00392BCF" w:rsidP="005875DA">
      <w:pPr>
        <w:spacing w:after="120" w:line="240" w:lineRule="auto"/>
        <w:jc w:val="lowKashida"/>
        <w:rPr>
          <w:rFonts w:asciiTheme="majorBidi" w:hAnsiTheme="majorBidi" w:cstheme="majorBidi"/>
          <w:lang w:val="id-ID" w:eastAsia="zh-CN"/>
        </w:rPr>
      </w:pPr>
      <w:r w:rsidRPr="00392BCF">
        <w:rPr>
          <w:rFonts w:asciiTheme="majorBidi" w:hAnsiTheme="majorBidi" w:cstheme="majorBidi"/>
          <w:lang w:val="id-ID" w:eastAsia="zh-CN"/>
        </w:rPr>
        <w:t>This study aims to analyse the Quranic text related to debt and credit in Islam, namely Surah Al-Baqarah verse 280. Debt and credit, according to Abu Hayyan, through the approach of various qirâ`at, offers a detailed linguistic analysis that underlines the differences in interpretation and application in Islamic law. This research uses the descriptive-analytic method. The primary data source is Abu Hayyan's tafsir, which discusses the variations of qir'at in verses related to debt and credit. Secondary data sources include Tafsir literature, journal articles, books, and previous studies. The results show that scholars' opinions regarding the interpretation and application of the law of debt and credit vary; some fuqaha emphasise the obligation to provide leeway, while others see it as a sunnah recommendation. This study concludes that the variation of qirâ`ât in Surah Al-Baqarah verse 280 adds depth and richness to the meaning of the verse, as well as provides flexibility in applying the law of debt and credit in Islam.</w:t>
      </w:r>
    </w:p>
    <w:p w14:paraId="514D7985" w14:textId="77777777" w:rsidR="00392BCF" w:rsidRPr="00392BCF" w:rsidRDefault="00392BCF" w:rsidP="005875DA">
      <w:pPr>
        <w:spacing w:after="120" w:line="240" w:lineRule="auto"/>
        <w:jc w:val="lowKashida"/>
        <w:rPr>
          <w:rFonts w:asciiTheme="majorBidi" w:hAnsiTheme="majorBidi" w:cstheme="majorBidi"/>
          <w:lang w:val="id-ID" w:eastAsia="zh-CN"/>
        </w:rPr>
      </w:pPr>
    </w:p>
    <w:p w14:paraId="7CD3479B" w14:textId="1FB20A3C" w:rsidR="00392BCF" w:rsidRPr="00392BCF" w:rsidRDefault="00392BCF" w:rsidP="005875DA">
      <w:pPr>
        <w:spacing w:after="120" w:line="240" w:lineRule="auto"/>
        <w:jc w:val="lowKashida"/>
        <w:rPr>
          <w:rFonts w:asciiTheme="majorBidi" w:hAnsiTheme="majorBidi" w:cstheme="majorBidi"/>
          <w:lang w:val="id-ID" w:eastAsia="zh-CN"/>
        </w:rPr>
      </w:pPr>
      <w:r w:rsidRPr="00392BCF">
        <w:rPr>
          <w:rFonts w:asciiTheme="majorBidi" w:hAnsiTheme="majorBidi" w:cstheme="majorBidi"/>
          <w:lang w:val="id-ID" w:eastAsia="zh-CN"/>
        </w:rPr>
        <w:t>Keywords: Abu Hayyan, Credit, Debt, Qirâ'at and Tafsir.</w:t>
      </w:r>
    </w:p>
    <w:p w14:paraId="2272BD9A" w14:textId="77777777" w:rsidR="00392BCF" w:rsidRPr="00392BCF" w:rsidRDefault="00392BCF" w:rsidP="005875DA">
      <w:pPr>
        <w:spacing w:after="120" w:line="240" w:lineRule="auto"/>
        <w:rPr>
          <w:rFonts w:asciiTheme="majorBidi" w:hAnsiTheme="majorBidi" w:cstheme="majorBidi"/>
          <w:lang w:val="id-ID" w:eastAsia="zh-CN"/>
        </w:rPr>
      </w:pPr>
    </w:p>
    <w:p w14:paraId="084F8A56" w14:textId="72B4778B" w:rsidR="00CE46B1" w:rsidRPr="00392BCF" w:rsidRDefault="00CE46B1" w:rsidP="005875DA">
      <w:pPr>
        <w:spacing w:after="120" w:line="240" w:lineRule="auto"/>
        <w:jc w:val="center"/>
        <w:rPr>
          <w:rFonts w:asciiTheme="majorBidi" w:hAnsiTheme="majorBidi" w:cstheme="majorBidi"/>
          <w:lang w:val="id-ID" w:eastAsia="zh-CN"/>
        </w:rPr>
      </w:pPr>
      <w:r w:rsidRPr="00392BCF">
        <w:rPr>
          <w:rFonts w:asciiTheme="majorBidi" w:hAnsiTheme="majorBidi" w:cstheme="majorBidi"/>
          <w:lang w:val="id-ID" w:eastAsia="zh-CN"/>
        </w:rPr>
        <w:t>Abstrak</w:t>
      </w:r>
    </w:p>
    <w:p w14:paraId="39F89CDB" w14:textId="77777777" w:rsidR="00392BCF" w:rsidRPr="00392BCF" w:rsidRDefault="00392BCF" w:rsidP="005875DA">
      <w:pPr>
        <w:spacing w:after="120" w:line="240" w:lineRule="auto"/>
        <w:jc w:val="center"/>
        <w:rPr>
          <w:rFonts w:asciiTheme="majorBidi" w:hAnsiTheme="majorBidi" w:cstheme="majorBidi"/>
          <w:lang w:val="id-ID" w:eastAsia="zh-CN"/>
        </w:rPr>
      </w:pPr>
    </w:p>
    <w:p w14:paraId="01F6BF1A" w14:textId="77777777" w:rsidR="003070D4" w:rsidRPr="00392BCF" w:rsidRDefault="003070D4" w:rsidP="005875DA">
      <w:pPr>
        <w:spacing w:after="120" w:line="240" w:lineRule="auto"/>
        <w:jc w:val="lowKashida"/>
        <w:rPr>
          <w:rFonts w:asciiTheme="majorBidi" w:hAnsiTheme="majorBidi" w:cstheme="majorBidi"/>
        </w:rPr>
      </w:pPr>
      <w:r w:rsidRPr="00392BCF">
        <w:rPr>
          <w:rFonts w:asciiTheme="majorBidi" w:hAnsiTheme="majorBidi" w:cstheme="majorBidi"/>
          <w:lang w:val="id-ID"/>
        </w:rPr>
        <w:t xml:space="preserve">Tujuan penelitian ini adalah untuk </w:t>
      </w:r>
      <w:r w:rsidRPr="00392BCF">
        <w:rPr>
          <w:rFonts w:asciiTheme="majorBidi" w:hAnsiTheme="majorBidi" w:cstheme="majorBidi"/>
        </w:rPr>
        <w:t xml:space="preserve">menganalisis teks Quran terkait dengan utang piutang dalam Islam, </w:t>
      </w:r>
      <w:r w:rsidRPr="00392BCF">
        <w:rPr>
          <w:rFonts w:asciiTheme="majorBidi" w:hAnsiTheme="majorBidi" w:cstheme="majorBidi"/>
          <w:lang w:val="id-ID"/>
        </w:rPr>
        <w:t xml:space="preserve">yaitu </w:t>
      </w:r>
      <w:r w:rsidRPr="00392BCF">
        <w:rPr>
          <w:rFonts w:asciiTheme="majorBidi" w:hAnsiTheme="majorBidi" w:cstheme="majorBidi"/>
        </w:rPr>
        <w:t>Surah Al-Baqarah ayat 280</w:t>
      </w:r>
      <w:r w:rsidRPr="00392BCF">
        <w:rPr>
          <w:rFonts w:asciiTheme="majorBidi" w:hAnsiTheme="majorBidi" w:cstheme="majorBidi"/>
          <w:lang w:val="id-ID"/>
        </w:rPr>
        <w:t xml:space="preserve">. </w:t>
      </w:r>
      <w:r w:rsidRPr="00392BCF">
        <w:rPr>
          <w:rFonts w:asciiTheme="majorBidi" w:hAnsiTheme="majorBidi" w:cstheme="majorBidi"/>
        </w:rPr>
        <w:t xml:space="preserve">Utang piutang </w:t>
      </w:r>
      <w:r w:rsidRPr="00392BCF">
        <w:rPr>
          <w:rFonts w:asciiTheme="majorBidi" w:hAnsiTheme="majorBidi" w:cstheme="majorBidi"/>
          <w:lang w:val="id-ID"/>
        </w:rPr>
        <w:t>menurut</w:t>
      </w:r>
      <w:r w:rsidRPr="00392BCF">
        <w:rPr>
          <w:rFonts w:asciiTheme="majorBidi" w:hAnsiTheme="majorBidi" w:cstheme="majorBidi"/>
        </w:rPr>
        <w:t xml:space="preserve"> Abu Hayyan </w:t>
      </w:r>
      <w:r w:rsidRPr="00392BCF">
        <w:rPr>
          <w:rFonts w:asciiTheme="majorBidi" w:hAnsiTheme="majorBidi" w:cstheme="majorBidi"/>
          <w:lang w:val="id-ID"/>
        </w:rPr>
        <w:t>melalui pendekatan</w:t>
      </w:r>
      <w:r w:rsidRPr="00392BCF">
        <w:rPr>
          <w:rFonts w:asciiTheme="majorBidi" w:hAnsiTheme="majorBidi" w:cstheme="majorBidi"/>
        </w:rPr>
        <w:t xml:space="preserve"> berbagai qirâ`at, menawarkan analisis linguistik terperinci yang menggarisbawahi perbedaan interpretasi dan penerapan dalam hukum Islam.</w:t>
      </w:r>
      <w:r w:rsidRPr="00392BCF">
        <w:rPr>
          <w:rFonts w:asciiTheme="majorBidi" w:hAnsiTheme="majorBidi" w:cstheme="majorBidi"/>
          <w:lang w:val="id-ID"/>
        </w:rPr>
        <w:t xml:space="preserve"> Penelitian ini</w:t>
      </w:r>
      <w:r w:rsidRPr="00392BCF">
        <w:rPr>
          <w:rFonts w:asciiTheme="majorBidi" w:hAnsiTheme="majorBidi" w:cstheme="majorBidi"/>
        </w:rPr>
        <w:t xml:space="preserve"> menggunakan metode deskriptif-analitik.</w:t>
      </w:r>
      <w:r w:rsidRPr="00392BCF">
        <w:rPr>
          <w:rFonts w:asciiTheme="majorBidi" w:hAnsiTheme="majorBidi" w:cstheme="majorBidi"/>
          <w:lang w:val="id-ID"/>
        </w:rPr>
        <w:t xml:space="preserve"> </w:t>
      </w:r>
      <w:r w:rsidRPr="00392BCF">
        <w:rPr>
          <w:rFonts w:asciiTheme="majorBidi" w:hAnsiTheme="majorBidi" w:cstheme="majorBidi"/>
        </w:rPr>
        <w:t xml:space="preserve">Sumber </w:t>
      </w:r>
      <w:r w:rsidRPr="00392BCF">
        <w:rPr>
          <w:rFonts w:asciiTheme="majorBidi" w:hAnsiTheme="majorBidi" w:cstheme="majorBidi"/>
          <w:lang w:val="id-ID"/>
        </w:rPr>
        <w:t>d</w:t>
      </w:r>
      <w:r w:rsidRPr="00392BCF">
        <w:rPr>
          <w:rFonts w:asciiTheme="majorBidi" w:hAnsiTheme="majorBidi" w:cstheme="majorBidi"/>
        </w:rPr>
        <w:t xml:space="preserve">ata </w:t>
      </w:r>
      <w:r w:rsidRPr="00392BCF">
        <w:rPr>
          <w:rFonts w:asciiTheme="majorBidi" w:hAnsiTheme="majorBidi" w:cstheme="majorBidi"/>
          <w:lang w:val="id-ID"/>
        </w:rPr>
        <w:t>p</w:t>
      </w:r>
      <w:r w:rsidRPr="00392BCF">
        <w:rPr>
          <w:rFonts w:asciiTheme="majorBidi" w:hAnsiTheme="majorBidi" w:cstheme="majorBidi"/>
        </w:rPr>
        <w:t xml:space="preserve">rimer yaitu tafsir Abu Hayyan yang membahas variasi </w:t>
      </w:r>
      <w:r w:rsidRPr="00392BCF">
        <w:rPr>
          <w:rFonts w:asciiTheme="majorBidi" w:hAnsiTheme="majorBidi" w:cstheme="majorBidi"/>
        </w:rPr>
        <w:lastRenderedPageBreak/>
        <w:t>qirâ'at pada ayat-ayat terkait</w:t>
      </w:r>
      <w:r w:rsidRPr="00392BCF">
        <w:rPr>
          <w:rFonts w:asciiTheme="majorBidi" w:hAnsiTheme="majorBidi" w:cstheme="majorBidi"/>
          <w:lang w:val="id-ID"/>
        </w:rPr>
        <w:t xml:space="preserve"> utang piutang</w:t>
      </w:r>
      <w:r w:rsidRPr="00392BCF">
        <w:rPr>
          <w:rFonts w:asciiTheme="majorBidi" w:hAnsiTheme="majorBidi" w:cstheme="majorBidi"/>
        </w:rPr>
        <w:t xml:space="preserve">. Sumber </w:t>
      </w:r>
      <w:r w:rsidRPr="00392BCF">
        <w:rPr>
          <w:rFonts w:asciiTheme="majorBidi" w:hAnsiTheme="majorBidi" w:cstheme="majorBidi"/>
          <w:lang w:val="id-ID"/>
        </w:rPr>
        <w:t>d</w:t>
      </w:r>
      <w:r w:rsidRPr="00392BCF">
        <w:rPr>
          <w:rFonts w:asciiTheme="majorBidi" w:hAnsiTheme="majorBidi" w:cstheme="majorBidi"/>
        </w:rPr>
        <w:t xml:space="preserve">ata </w:t>
      </w:r>
      <w:r w:rsidRPr="00392BCF">
        <w:rPr>
          <w:rFonts w:asciiTheme="majorBidi" w:hAnsiTheme="majorBidi" w:cstheme="majorBidi"/>
          <w:lang w:val="id-ID"/>
        </w:rPr>
        <w:t>s</w:t>
      </w:r>
      <w:r w:rsidRPr="00392BCF">
        <w:rPr>
          <w:rFonts w:asciiTheme="majorBidi" w:hAnsiTheme="majorBidi" w:cstheme="majorBidi"/>
        </w:rPr>
        <w:t>ekunder mencakup literatur tafsir, artikel jurnal, buku, dan studi sebelumnya.</w:t>
      </w:r>
      <w:r w:rsidRPr="00392BCF">
        <w:rPr>
          <w:rFonts w:asciiTheme="majorBidi" w:hAnsiTheme="majorBidi" w:cstheme="majorBidi"/>
          <w:lang w:val="id-ID"/>
        </w:rPr>
        <w:t xml:space="preserve"> Hasil penelitian menunjukkan pendapat ulama mengenai interpretasi dan aplikasi hukum hutang piutang bervariasi, sebagian fuqaha menekankan kewajiban memberikan kelonggaran sementara yang lain melihatnya sebagai anjuran sunnah. </w:t>
      </w:r>
      <w:r w:rsidRPr="00392BCF">
        <w:rPr>
          <w:rFonts w:asciiTheme="majorBidi" w:hAnsiTheme="majorBidi" w:cstheme="majorBidi"/>
        </w:rPr>
        <w:t>Penelitian ini menyimpulkan bahwa variasi qirâ`ât dalam Surat Al-Baqarah ayat 280 menambah kedalaman dan kekayaan makna ayat, serta memberikan fleksibilitas dalam penerapan hukum hutang piutang dalam Islam.</w:t>
      </w:r>
    </w:p>
    <w:p w14:paraId="3279491A" w14:textId="77777777" w:rsidR="00F076BE" w:rsidRPr="00392BCF" w:rsidRDefault="00F076BE" w:rsidP="005875DA">
      <w:pPr>
        <w:spacing w:after="120" w:line="240" w:lineRule="auto"/>
        <w:jc w:val="lowKashida"/>
        <w:rPr>
          <w:rFonts w:asciiTheme="majorBidi" w:hAnsiTheme="majorBidi" w:cstheme="majorBidi"/>
        </w:rPr>
      </w:pPr>
    </w:p>
    <w:p w14:paraId="3D78C12B" w14:textId="72AED9E4" w:rsidR="003070D4" w:rsidRPr="00392BCF" w:rsidRDefault="003070D4" w:rsidP="005875DA">
      <w:pPr>
        <w:spacing w:after="120" w:line="240" w:lineRule="auto"/>
        <w:rPr>
          <w:rFonts w:asciiTheme="majorBidi" w:hAnsiTheme="majorBidi" w:cstheme="majorBidi"/>
          <w:lang w:val="id-ID"/>
        </w:rPr>
      </w:pPr>
      <w:r w:rsidRPr="00392BCF">
        <w:rPr>
          <w:rFonts w:asciiTheme="majorBidi" w:hAnsiTheme="majorBidi" w:cstheme="majorBidi"/>
          <w:lang w:val="id-ID"/>
        </w:rPr>
        <w:t>Kata kunci: Abu Hayyan, Qirâ'at, Tafsir, Utang Piutang.</w:t>
      </w:r>
    </w:p>
    <w:p w14:paraId="720DFB9E" w14:textId="77777777" w:rsidR="003070D4" w:rsidRPr="00392BCF" w:rsidRDefault="003070D4" w:rsidP="005875DA">
      <w:pPr>
        <w:spacing w:after="120" w:line="240" w:lineRule="auto"/>
        <w:jc w:val="lowKashida"/>
        <w:rPr>
          <w:rFonts w:asciiTheme="majorBidi" w:hAnsiTheme="majorBidi" w:cstheme="majorBidi"/>
          <w:lang w:val="id-ID" w:eastAsia="zh-CN"/>
        </w:rPr>
      </w:pPr>
    </w:p>
    <w:p w14:paraId="2F9D592A" w14:textId="77777777" w:rsidR="00890787" w:rsidRPr="00392BCF" w:rsidRDefault="003C6A26" w:rsidP="005875DA">
      <w:pPr>
        <w:pStyle w:val="Heading3"/>
        <w:spacing w:after="120"/>
        <w:rPr>
          <w:rFonts w:asciiTheme="majorBidi" w:hAnsiTheme="majorBidi" w:cstheme="majorBidi"/>
          <w:lang w:val="id-ID"/>
        </w:rPr>
      </w:pPr>
      <w:r w:rsidRPr="00392BCF">
        <w:rPr>
          <w:rFonts w:asciiTheme="majorBidi" w:hAnsiTheme="majorBidi" w:cstheme="majorBidi"/>
        </w:rPr>
        <w:t>Pendahuluan</w:t>
      </w:r>
      <w:r w:rsidR="00890787" w:rsidRPr="00392BCF">
        <w:rPr>
          <w:rFonts w:asciiTheme="majorBidi" w:hAnsiTheme="majorBidi" w:cstheme="majorBidi"/>
          <w:lang w:val="id-ID"/>
        </w:rPr>
        <w:t xml:space="preserve"> </w:t>
      </w:r>
    </w:p>
    <w:p w14:paraId="23939DAC" w14:textId="09EBEB9F" w:rsidR="00E52D77" w:rsidRPr="00392BCF" w:rsidRDefault="00890787" w:rsidP="005875DA">
      <w:pPr>
        <w:pStyle w:val="Heading3"/>
        <w:spacing w:after="120"/>
        <w:ind w:firstLine="709"/>
        <w:jc w:val="lowKashida"/>
        <w:rPr>
          <w:rFonts w:asciiTheme="majorBidi" w:hAnsiTheme="majorBidi" w:cstheme="majorBidi"/>
          <w:b w:val="0"/>
          <w:bCs w:val="0"/>
          <w:shd w:val="clear" w:color="auto" w:fill="FFFFFF"/>
        </w:rPr>
      </w:pPr>
      <w:r w:rsidRPr="00392BCF">
        <w:rPr>
          <w:rFonts w:asciiTheme="majorBidi" w:hAnsiTheme="majorBidi" w:cstheme="majorBidi"/>
          <w:b w:val="0"/>
          <w:bCs w:val="0"/>
          <w:shd w:val="clear" w:color="auto" w:fill="FFFFFF"/>
          <w:lang w:val="id-ID"/>
        </w:rPr>
        <w:t>“U</w:t>
      </w:r>
      <w:r w:rsidR="00D65CA5" w:rsidRPr="00392BCF">
        <w:rPr>
          <w:rFonts w:asciiTheme="majorBidi" w:hAnsiTheme="majorBidi" w:cstheme="majorBidi"/>
          <w:b w:val="0"/>
          <w:bCs w:val="0"/>
          <w:shd w:val="clear" w:color="auto" w:fill="FFFFFF"/>
        </w:rPr>
        <w:t>tang</w:t>
      </w:r>
      <w:r w:rsidRPr="00392BCF">
        <w:rPr>
          <w:rFonts w:asciiTheme="majorBidi" w:hAnsiTheme="majorBidi" w:cstheme="majorBidi"/>
          <w:b w:val="0"/>
          <w:bCs w:val="0"/>
          <w:shd w:val="clear" w:color="auto" w:fill="FFFFFF"/>
          <w:lang w:val="id-ID"/>
        </w:rPr>
        <w:t xml:space="preserve"> p</w:t>
      </w:r>
      <w:r w:rsidRPr="00392BCF">
        <w:rPr>
          <w:rFonts w:asciiTheme="majorBidi" w:hAnsiTheme="majorBidi" w:cstheme="majorBidi"/>
          <w:b w:val="0"/>
          <w:bCs w:val="0"/>
          <w:shd w:val="clear" w:color="auto" w:fill="FFFFFF"/>
        </w:rPr>
        <w:t>iutang</w:t>
      </w:r>
      <w:r w:rsidRPr="00392BCF">
        <w:rPr>
          <w:rFonts w:asciiTheme="majorBidi" w:hAnsiTheme="majorBidi" w:cstheme="majorBidi"/>
          <w:b w:val="0"/>
          <w:bCs w:val="0"/>
          <w:shd w:val="clear" w:color="auto" w:fill="FFFFFF"/>
          <w:lang w:val="id-ID"/>
        </w:rPr>
        <w:t>”</w:t>
      </w:r>
      <w:r w:rsidR="00D65CA5" w:rsidRPr="00392BCF">
        <w:rPr>
          <w:rFonts w:asciiTheme="majorBidi" w:hAnsiTheme="majorBidi" w:cstheme="majorBidi"/>
          <w:b w:val="0"/>
          <w:bCs w:val="0"/>
          <w:shd w:val="clear" w:color="auto" w:fill="FFFFFF"/>
        </w:rPr>
        <w:t xml:space="preserve"> memiliki kepentingan yang signifikan dalam tatanan sosial dan ekonomi umat Islam, dengan pedoman yang jelas diberikan dalam Al-Quran mengenai etika dan aturan mengenai hutang</w:t>
      </w:r>
      <w:r w:rsidRPr="00392BCF">
        <w:rPr>
          <w:rFonts w:asciiTheme="majorBidi" w:hAnsiTheme="majorBidi" w:cstheme="majorBidi"/>
          <w:b w:val="0"/>
          <w:bCs w:val="0"/>
          <w:shd w:val="clear" w:color="auto" w:fill="FFFFFF"/>
          <w:lang w:val="id-ID"/>
        </w:rPr>
        <w:t xml:space="preserve"> piutang</w:t>
      </w:r>
      <w:r w:rsidR="00D65CA5" w:rsidRPr="00392BCF">
        <w:rPr>
          <w:rFonts w:asciiTheme="majorBidi" w:hAnsiTheme="majorBidi" w:cstheme="majorBidi"/>
          <w:b w:val="0"/>
          <w:bCs w:val="0"/>
          <w:shd w:val="clear" w:color="auto" w:fill="FFFFFF"/>
        </w:rPr>
        <w:t>, seperti dalam Surah Al-Baqarah ayat 280.</w:t>
      </w:r>
      <w:r w:rsidR="00D65CA5" w:rsidRPr="00392BCF">
        <w:rPr>
          <w:rStyle w:val="FootnoteReference"/>
          <w:rFonts w:asciiTheme="majorBidi" w:hAnsiTheme="majorBidi" w:cstheme="majorBidi"/>
          <w:b w:val="0"/>
          <w:bCs w:val="0"/>
        </w:rPr>
        <w:footnoteReference w:id="1"/>
      </w:r>
      <w:r w:rsidR="00D65CA5" w:rsidRPr="00392BCF">
        <w:rPr>
          <w:rFonts w:asciiTheme="majorBidi" w:hAnsiTheme="majorBidi" w:cstheme="majorBidi"/>
          <w:b w:val="0"/>
          <w:bCs w:val="0"/>
          <w:shd w:val="clear" w:color="auto" w:fill="FFFFFF"/>
        </w:rPr>
        <w:t xml:space="preserve"> Ayat ini </w:t>
      </w:r>
      <w:r w:rsidR="009176E4" w:rsidRPr="00392BCF">
        <w:rPr>
          <w:rFonts w:asciiTheme="majorBidi" w:hAnsiTheme="majorBidi" w:cstheme="majorBidi"/>
          <w:b w:val="0"/>
          <w:bCs w:val="0"/>
          <w:shd w:val="clear" w:color="auto" w:fill="FFFFFF"/>
          <w:lang w:val="id-ID"/>
        </w:rPr>
        <w:t>memerintahkan</w:t>
      </w:r>
      <w:r w:rsidR="00D65CA5" w:rsidRPr="00392BCF">
        <w:rPr>
          <w:rFonts w:asciiTheme="majorBidi" w:hAnsiTheme="majorBidi" w:cstheme="majorBidi"/>
          <w:b w:val="0"/>
          <w:bCs w:val="0"/>
          <w:shd w:val="clear" w:color="auto" w:fill="FFFFFF"/>
        </w:rPr>
        <w:t xml:space="preserve"> umat Islam untuk menjauhkan diri dari riba, membayar pinjaman hanya dalam pokok, dan menawarkan fleksibilitas kepada mereka yang menghadapi tantangan pembayaran. Rasulullah menekankan </w:t>
      </w:r>
      <w:r w:rsidR="009176E4" w:rsidRPr="00392BCF">
        <w:rPr>
          <w:rFonts w:asciiTheme="majorBidi" w:hAnsiTheme="majorBidi" w:cstheme="majorBidi"/>
          <w:b w:val="0"/>
          <w:bCs w:val="0"/>
          <w:shd w:val="clear" w:color="auto" w:fill="FFFFFF"/>
          <w:lang w:val="id-ID"/>
        </w:rPr>
        <w:t>bahwa orang yang menunda membayar hutang padahal</w:t>
      </w:r>
      <w:r w:rsidR="00D65CA5" w:rsidRPr="00392BCF">
        <w:rPr>
          <w:rFonts w:asciiTheme="majorBidi" w:hAnsiTheme="majorBidi" w:cstheme="majorBidi"/>
          <w:b w:val="0"/>
          <w:bCs w:val="0"/>
          <w:shd w:val="clear" w:color="auto" w:fill="FFFFFF"/>
        </w:rPr>
        <w:t xml:space="preserve"> mampu melunas</w:t>
      </w:r>
      <w:r w:rsidR="009176E4" w:rsidRPr="00392BCF">
        <w:rPr>
          <w:rFonts w:asciiTheme="majorBidi" w:hAnsiTheme="majorBidi" w:cstheme="majorBidi"/>
          <w:b w:val="0"/>
          <w:bCs w:val="0"/>
          <w:shd w:val="clear" w:color="auto" w:fill="FFFFFF"/>
          <w:lang w:val="id-ID"/>
        </w:rPr>
        <w:t>i</w:t>
      </w:r>
      <w:r w:rsidR="00D65CA5" w:rsidRPr="00392BCF">
        <w:rPr>
          <w:rFonts w:asciiTheme="majorBidi" w:hAnsiTheme="majorBidi" w:cstheme="majorBidi"/>
          <w:b w:val="0"/>
          <w:bCs w:val="0"/>
          <w:shd w:val="clear" w:color="auto" w:fill="FFFFFF"/>
        </w:rPr>
        <w:t>nya</w:t>
      </w:r>
      <w:r w:rsidR="009176E4" w:rsidRPr="00392BCF">
        <w:rPr>
          <w:rFonts w:asciiTheme="majorBidi" w:hAnsiTheme="majorBidi" w:cstheme="majorBidi"/>
          <w:b w:val="0"/>
          <w:bCs w:val="0"/>
          <w:shd w:val="clear" w:color="auto" w:fill="FFFFFF"/>
          <w:lang w:val="id-ID"/>
        </w:rPr>
        <w:t>, orang tersebut telah melakukan ketidakadilan</w:t>
      </w:r>
      <w:r w:rsidR="00D65CA5" w:rsidRPr="00392BCF">
        <w:rPr>
          <w:rFonts w:asciiTheme="majorBidi" w:hAnsiTheme="majorBidi" w:cstheme="majorBidi"/>
          <w:b w:val="0"/>
          <w:bCs w:val="0"/>
          <w:shd w:val="clear" w:color="auto" w:fill="FFFFFF"/>
        </w:rPr>
        <w:t>.</w:t>
      </w:r>
      <w:r w:rsidR="00D65CA5" w:rsidRPr="00392BCF">
        <w:rPr>
          <w:rStyle w:val="FootnoteReference"/>
          <w:rFonts w:asciiTheme="majorBidi" w:hAnsiTheme="majorBidi" w:cstheme="majorBidi"/>
          <w:b w:val="0"/>
          <w:bCs w:val="0"/>
        </w:rPr>
        <w:footnoteReference w:id="2"/>
      </w:r>
      <w:r w:rsidR="00D65CA5" w:rsidRPr="00392BCF">
        <w:rPr>
          <w:rFonts w:asciiTheme="majorBidi" w:hAnsiTheme="majorBidi" w:cstheme="majorBidi"/>
          <w:b w:val="0"/>
          <w:bCs w:val="0"/>
          <w:shd w:val="clear" w:color="auto" w:fill="FFFFFF"/>
        </w:rPr>
        <w:t xml:space="preserve"> </w:t>
      </w:r>
      <w:r w:rsidR="009176E4" w:rsidRPr="00392BCF">
        <w:rPr>
          <w:rFonts w:asciiTheme="majorBidi" w:hAnsiTheme="majorBidi" w:cstheme="majorBidi"/>
          <w:b w:val="0"/>
          <w:bCs w:val="0"/>
          <w:lang w:val="id-ID"/>
        </w:rPr>
        <w:t>K</w:t>
      </w:r>
      <w:r w:rsidR="00E52D77" w:rsidRPr="00392BCF">
        <w:rPr>
          <w:rFonts w:asciiTheme="majorBidi" w:hAnsiTheme="majorBidi" w:cstheme="majorBidi"/>
          <w:b w:val="0"/>
          <w:bCs w:val="0"/>
        </w:rPr>
        <w:t>ewajiban moral</w:t>
      </w:r>
      <w:r w:rsidR="009176E4" w:rsidRPr="00392BCF">
        <w:rPr>
          <w:rFonts w:asciiTheme="majorBidi" w:hAnsiTheme="majorBidi" w:cstheme="majorBidi"/>
          <w:b w:val="0"/>
          <w:bCs w:val="0"/>
          <w:lang w:val="id-ID"/>
        </w:rPr>
        <w:t xml:space="preserve"> bagi yang mampu</w:t>
      </w:r>
      <w:r w:rsidR="00E52D77" w:rsidRPr="00392BCF">
        <w:rPr>
          <w:rFonts w:asciiTheme="majorBidi" w:hAnsiTheme="majorBidi" w:cstheme="majorBidi"/>
          <w:b w:val="0"/>
          <w:bCs w:val="0"/>
        </w:rPr>
        <w:t xml:space="preserve"> untuk membayar utang segera dan mengutuk mereka yang menunda pembayaran ketika mampu.</w:t>
      </w:r>
      <w:r w:rsidR="00E52D77" w:rsidRPr="00392BCF">
        <w:rPr>
          <w:rStyle w:val="FootnoteReference"/>
          <w:rFonts w:asciiTheme="majorBidi" w:hAnsiTheme="majorBidi" w:cstheme="majorBidi"/>
          <w:b w:val="0"/>
          <w:bCs w:val="0"/>
        </w:rPr>
        <w:footnoteReference w:id="3"/>
      </w:r>
    </w:p>
    <w:p w14:paraId="7114A6A0" w14:textId="09B8BFBE" w:rsidR="00E52D77" w:rsidRPr="00392BCF" w:rsidRDefault="009176E4" w:rsidP="005875DA">
      <w:pPr>
        <w:spacing w:after="120" w:line="240" w:lineRule="auto"/>
        <w:ind w:firstLine="709"/>
        <w:jc w:val="lowKashida"/>
        <w:rPr>
          <w:rFonts w:asciiTheme="majorBidi" w:hAnsiTheme="majorBidi" w:cstheme="majorBidi"/>
          <w:lang w:eastAsia="zh-CN"/>
        </w:rPr>
      </w:pPr>
      <w:r w:rsidRPr="00392BCF">
        <w:rPr>
          <w:rFonts w:asciiTheme="majorBidi" w:hAnsiTheme="majorBidi" w:cstheme="majorBidi"/>
          <w:lang w:val="id-ID" w:eastAsia="zh-CN"/>
        </w:rPr>
        <w:t>Perjanjian</w:t>
      </w:r>
      <w:r w:rsidR="00E52D77" w:rsidRPr="00392BCF">
        <w:rPr>
          <w:rFonts w:asciiTheme="majorBidi" w:hAnsiTheme="majorBidi" w:cstheme="majorBidi"/>
          <w:lang w:eastAsia="zh-CN"/>
        </w:rPr>
        <w:t xml:space="preserve"> utang dalam keuangan Islam menunjukkan adanya tantangan dalam beberapa perjanjian utang yang sering kali melanggar prinsip-prinsip Islam. </w:t>
      </w:r>
      <w:r w:rsidRPr="00392BCF">
        <w:rPr>
          <w:rFonts w:asciiTheme="majorBidi" w:hAnsiTheme="majorBidi" w:cstheme="majorBidi"/>
          <w:lang w:val="id-ID" w:eastAsia="zh-CN"/>
        </w:rPr>
        <w:t>S</w:t>
      </w:r>
      <w:r w:rsidR="00E52D77" w:rsidRPr="00392BCF">
        <w:rPr>
          <w:rFonts w:asciiTheme="majorBidi" w:hAnsiTheme="majorBidi" w:cstheme="majorBidi"/>
          <w:lang w:eastAsia="zh-CN"/>
        </w:rPr>
        <w:t>eperti yang terjadi antara petani padi dan pemilik pabrik, sering kali menerapkan hukuman yang berlebihan atas keterlambatan pembayaran, yang dapat menciptakan beban keuangan yang tidak adil.</w:t>
      </w:r>
      <w:r w:rsidR="00E52D77" w:rsidRPr="00392BCF">
        <w:rPr>
          <w:rStyle w:val="FootnoteReference"/>
          <w:rFonts w:asciiTheme="majorBidi" w:hAnsiTheme="majorBidi" w:cstheme="majorBidi"/>
          <w:lang w:eastAsia="zh-CN"/>
        </w:rPr>
        <w:footnoteReference w:id="4"/>
      </w:r>
      <w:r w:rsidR="00E52D77" w:rsidRPr="00392BCF">
        <w:rPr>
          <w:rFonts w:asciiTheme="majorBidi" w:hAnsiTheme="majorBidi" w:cstheme="majorBidi"/>
          <w:lang w:eastAsia="zh-CN"/>
        </w:rPr>
        <w:t xml:space="preserve"> Sebagai solusi, kontrak Hiwalah dapat digunakan untuk mengalihkan utang ke pihak lain, </w:t>
      </w:r>
      <w:r w:rsidR="00E52D77" w:rsidRPr="00392BCF">
        <w:rPr>
          <w:rFonts w:asciiTheme="majorBidi" w:hAnsiTheme="majorBidi" w:cstheme="majorBidi"/>
          <w:lang w:eastAsia="zh-CN"/>
        </w:rPr>
        <w:lastRenderedPageBreak/>
        <w:t>memberikan fleksibilitas bagi individu yang menghadapi kesulitan dalam membayar tepat waktu.</w:t>
      </w:r>
      <w:r w:rsidR="00E52D77" w:rsidRPr="00392BCF">
        <w:rPr>
          <w:rStyle w:val="FootnoteReference"/>
          <w:rFonts w:asciiTheme="majorBidi" w:hAnsiTheme="majorBidi" w:cstheme="majorBidi"/>
          <w:lang w:eastAsia="zh-CN"/>
        </w:rPr>
        <w:footnoteReference w:id="5"/>
      </w:r>
    </w:p>
    <w:p w14:paraId="62FBCB61" w14:textId="3A197C4C" w:rsidR="00E52D77" w:rsidRPr="00392BCF" w:rsidRDefault="00D65CA5" w:rsidP="005875DA">
      <w:pPr>
        <w:pStyle w:val="Heading3"/>
        <w:spacing w:after="120"/>
        <w:ind w:firstLine="709"/>
        <w:rPr>
          <w:rFonts w:asciiTheme="majorBidi" w:hAnsiTheme="majorBidi" w:cstheme="majorBidi"/>
          <w:b w:val="0"/>
          <w:bCs w:val="0"/>
          <w:shd w:val="clear" w:color="auto" w:fill="FFFFFF"/>
        </w:rPr>
      </w:pPr>
      <w:r w:rsidRPr="00392BCF">
        <w:rPr>
          <w:rFonts w:asciiTheme="majorBidi" w:hAnsiTheme="majorBidi" w:cstheme="majorBidi"/>
          <w:b w:val="0"/>
          <w:bCs w:val="0"/>
          <w:shd w:val="clear" w:color="auto" w:fill="FFFFFF"/>
        </w:rPr>
        <w:t xml:space="preserve">Penafsiran Abu Hayyan terhadap </w:t>
      </w:r>
      <w:r w:rsidR="009176E4" w:rsidRPr="00392BCF">
        <w:rPr>
          <w:rFonts w:asciiTheme="majorBidi" w:hAnsiTheme="majorBidi" w:cstheme="majorBidi"/>
          <w:b w:val="0"/>
          <w:bCs w:val="0"/>
          <w:shd w:val="clear" w:color="auto" w:fill="FFFFFF"/>
        </w:rPr>
        <w:t>Surah Al-Baqarah ayat 280</w:t>
      </w:r>
      <w:r w:rsidR="009176E4" w:rsidRPr="00392BCF">
        <w:rPr>
          <w:rFonts w:asciiTheme="majorBidi" w:hAnsiTheme="majorBidi" w:cstheme="majorBidi"/>
          <w:b w:val="0"/>
          <w:bCs w:val="0"/>
          <w:shd w:val="clear" w:color="auto" w:fill="FFFFFF"/>
          <w:lang w:val="id-ID"/>
        </w:rPr>
        <w:t>, dengan</w:t>
      </w:r>
      <w:r w:rsidRPr="00392BCF">
        <w:rPr>
          <w:rFonts w:asciiTheme="majorBidi" w:hAnsiTheme="majorBidi" w:cstheme="majorBidi"/>
          <w:b w:val="0"/>
          <w:bCs w:val="0"/>
          <w:shd w:val="clear" w:color="auto" w:fill="FFFFFF"/>
        </w:rPr>
        <w:t xml:space="preserve"> menyelidiki berbagai qirâ`at, menawarkan analisis linguistik </w:t>
      </w:r>
      <w:r w:rsidR="009176E4" w:rsidRPr="00392BCF">
        <w:rPr>
          <w:rFonts w:asciiTheme="majorBidi" w:hAnsiTheme="majorBidi" w:cstheme="majorBidi"/>
          <w:b w:val="0"/>
          <w:bCs w:val="0"/>
          <w:shd w:val="clear" w:color="auto" w:fill="FFFFFF"/>
          <w:lang w:val="id-ID"/>
        </w:rPr>
        <w:t>dalam memahami</w:t>
      </w:r>
      <w:r w:rsidRPr="00392BCF">
        <w:rPr>
          <w:rFonts w:asciiTheme="majorBidi" w:hAnsiTheme="majorBidi" w:cstheme="majorBidi"/>
          <w:b w:val="0"/>
          <w:bCs w:val="0"/>
          <w:shd w:val="clear" w:color="auto" w:fill="FFFFFF"/>
        </w:rPr>
        <w:t xml:space="preserve"> perbedaan interpretasi dan penerapan dalam hukum Islam</w:t>
      </w:r>
      <w:r w:rsidR="00492243" w:rsidRPr="00392BCF">
        <w:rPr>
          <w:rFonts w:asciiTheme="majorBidi" w:hAnsiTheme="majorBidi" w:cstheme="majorBidi"/>
          <w:b w:val="0"/>
          <w:bCs w:val="0"/>
          <w:shd w:val="clear" w:color="auto" w:fill="FFFFFF"/>
        </w:rPr>
        <w:t>.</w:t>
      </w:r>
      <w:r w:rsidR="00492243" w:rsidRPr="00392BCF">
        <w:rPr>
          <w:rStyle w:val="FootnoteReference"/>
          <w:rFonts w:asciiTheme="majorBidi" w:hAnsiTheme="majorBidi" w:cstheme="majorBidi"/>
          <w:b w:val="0"/>
          <w:bCs w:val="0"/>
        </w:rPr>
        <w:footnoteReference w:id="6"/>
      </w:r>
      <w:r w:rsidRPr="00392BCF">
        <w:rPr>
          <w:rFonts w:asciiTheme="majorBidi" w:hAnsiTheme="majorBidi" w:cstheme="majorBidi"/>
          <w:b w:val="0"/>
          <w:bCs w:val="0"/>
          <w:shd w:val="clear" w:color="auto" w:fill="FFFFFF"/>
        </w:rPr>
        <w:t xml:space="preserve"> </w:t>
      </w:r>
      <w:r w:rsidR="00E52D77" w:rsidRPr="00392BCF">
        <w:rPr>
          <w:rFonts w:asciiTheme="majorBidi" w:hAnsiTheme="majorBidi" w:cstheme="majorBidi"/>
          <w:b w:val="0"/>
          <w:bCs w:val="0"/>
        </w:rPr>
        <w:t>Analisis ini sangat penting untuk membangun sistem ekonomi yang adil selaras dengan ajaran Islam, menekankan keadilan dan perilaku etis dalam transaksi keuangan. Eksplorasi qirā'at oleh Abu Hayyan mengungkapkan bagaimana pembacaan yang berbeda dapat mengarah pada interpretasi hukum Islam yang bervariasi, yang berdampak pada praktik ekonomi. Analisis linguistik ini menegaskan pentingnya konteks dalam memahami aturan syariah, terutama dalam hal kombinasi kontrak dalam transaksi keuangan.</w:t>
      </w:r>
      <w:r w:rsidR="00E52D77" w:rsidRPr="00392BCF">
        <w:rPr>
          <w:rStyle w:val="FootnoteReference"/>
          <w:rFonts w:asciiTheme="majorBidi" w:hAnsiTheme="majorBidi" w:cstheme="majorBidi"/>
          <w:b w:val="0"/>
          <w:bCs w:val="0"/>
        </w:rPr>
        <w:footnoteReference w:id="7"/>
      </w:r>
    </w:p>
    <w:p w14:paraId="2251C80B" w14:textId="405B98AB" w:rsidR="00E52D77" w:rsidRPr="00392BCF" w:rsidRDefault="00D65CA5" w:rsidP="005875DA">
      <w:pPr>
        <w:pStyle w:val="Heading3"/>
        <w:spacing w:after="120"/>
        <w:ind w:firstLine="709"/>
        <w:rPr>
          <w:rFonts w:asciiTheme="majorBidi" w:hAnsiTheme="majorBidi" w:cstheme="majorBidi"/>
        </w:rPr>
      </w:pPr>
      <w:r w:rsidRPr="00392BCF">
        <w:rPr>
          <w:rFonts w:asciiTheme="majorBidi" w:hAnsiTheme="majorBidi" w:cstheme="majorBidi"/>
          <w:b w:val="0"/>
          <w:bCs w:val="0"/>
          <w:shd w:val="clear" w:color="auto" w:fill="FFFFFF"/>
        </w:rPr>
        <w:t xml:space="preserve">Pemahaman komprehensif ini membantu dalam membentuk sistem ekonomi yang adil sesuai dengan ajaran Islam, </w:t>
      </w:r>
      <w:r w:rsidR="009176E4" w:rsidRPr="00392BCF">
        <w:rPr>
          <w:rFonts w:asciiTheme="majorBidi" w:hAnsiTheme="majorBidi" w:cstheme="majorBidi"/>
          <w:b w:val="0"/>
          <w:bCs w:val="0"/>
          <w:shd w:val="clear" w:color="auto" w:fill="FFFFFF"/>
          <w:lang w:val="id-ID"/>
        </w:rPr>
        <w:t>menekankan</w:t>
      </w:r>
      <w:r w:rsidRPr="00392BCF">
        <w:rPr>
          <w:rFonts w:asciiTheme="majorBidi" w:hAnsiTheme="majorBidi" w:cstheme="majorBidi"/>
          <w:b w:val="0"/>
          <w:bCs w:val="0"/>
          <w:shd w:val="clear" w:color="auto" w:fill="FFFFFF"/>
        </w:rPr>
        <w:t xml:space="preserve"> keadilan dan perilaku etis dalam transaksi keuangan.</w:t>
      </w:r>
      <w:r w:rsidR="00E52D77" w:rsidRPr="00392BCF">
        <w:rPr>
          <w:rStyle w:val="FootnoteReference"/>
          <w:rFonts w:asciiTheme="majorBidi" w:hAnsiTheme="majorBidi" w:cstheme="majorBidi"/>
        </w:rPr>
        <w:footnoteReference w:id="8"/>
      </w:r>
      <w:r w:rsidR="00E52D77" w:rsidRPr="00392BCF">
        <w:rPr>
          <w:rFonts w:asciiTheme="majorBidi" w:hAnsiTheme="majorBidi" w:cstheme="majorBidi"/>
        </w:rPr>
        <w:t xml:space="preserve"> </w:t>
      </w:r>
      <w:r w:rsidR="00E52D77" w:rsidRPr="00392BCF">
        <w:rPr>
          <w:rFonts w:asciiTheme="majorBidi" w:hAnsiTheme="majorBidi" w:cstheme="majorBidi"/>
          <w:b w:val="0"/>
          <w:bCs w:val="0"/>
        </w:rPr>
        <w:t xml:space="preserve">Prinsip-prinsip Islam menganjurkan kerja </w:t>
      </w:r>
      <w:proofErr w:type="gramStart"/>
      <w:r w:rsidR="00E52D77" w:rsidRPr="00392BCF">
        <w:rPr>
          <w:rFonts w:asciiTheme="majorBidi" w:hAnsiTheme="majorBidi" w:cstheme="majorBidi"/>
          <w:b w:val="0"/>
          <w:bCs w:val="0"/>
        </w:rPr>
        <w:t>sama</w:t>
      </w:r>
      <w:proofErr w:type="gramEnd"/>
      <w:r w:rsidR="00E52D77" w:rsidRPr="00392BCF">
        <w:rPr>
          <w:rFonts w:asciiTheme="majorBidi" w:hAnsiTheme="majorBidi" w:cstheme="majorBidi"/>
          <w:b w:val="0"/>
          <w:bCs w:val="0"/>
        </w:rPr>
        <w:t xml:space="preserve"> dan kesejahteraan sosial, memastikan bahwa transaksi keuangan menguntungkan semua pihak yang terlibat.</w:t>
      </w:r>
      <w:r w:rsidR="00E52D77" w:rsidRPr="00392BCF">
        <w:rPr>
          <w:rStyle w:val="FootnoteReference"/>
          <w:rFonts w:asciiTheme="majorBidi" w:hAnsiTheme="majorBidi" w:cstheme="majorBidi"/>
          <w:b w:val="0"/>
          <w:bCs w:val="0"/>
        </w:rPr>
        <w:footnoteReference w:id="9"/>
      </w:r>
      <w:r w:rsidR="00E52D77" w:rsidRPr="00392BCF">
        <w:rPr>
          <w:rFonts w:asciiTheme="majorBidi" w:hAnsiTheme="majorBidi" w:cstheme="majorBidi"/>
          <w:b w:val="0"/>
          <w:bCs w:val="0"/>
        </w:rPr>
        <w:t xml:space="preserve"> Integrasi kontrak yang sesuai dengan syariah, seperti qordh dan ijarah, dalam fintech menggambarkan penerapan praktis prinsip-prinsip ini dalam sistem ekonomi kontemporer. Pendekatan ini tidak hanya mematuhi hukum Islam tetapi juga memenuhi kebutuhan masyarakat, mendorong lanskap keuangan yang lebih adil.</w:t>
      </w:r>
      <w:r w:rsidR="00E52D77" w:rsidRPr="00392BCF">
        <w:rPr>
          <w:rStyle w:val="FootnoteReference"/>
          <w:rFonts w:asciiTheme="majorBidi" w:hAnsiTheme="majorBidi" w:cstheme="majorBidi"/>
          <w:b w:val="0"/>
          <w:bCs w:val="0"/>
        </w:rPr>
        <w:footnoteReference w:id="10"/>
      </w:r>
      <w:r w:rsidR="00E52D77" w:rsidRPr="00392BCF">
        <w:rPr>
          <w:rFonts w:asciiTheme="majorBidi" w:hAnsiTheme="majorBidi" w:cstheme="majorBidi"/>
          <w:b w:val="0"/>
          <w:bCs w:val="0"/>
        </w:rPr>
        <w:t xml:space="preserve"> Meskipun interpretasi Abu Hayyan memberikan kerangka yang kuat untuk memahami prinsip-prinsip ekonomi Islam, beberapa berpendapat bahwa kompleksitas keuangan modern dapat menantang penerapan langsung dari </w:t>
      </w:r>
      <w:r w:rsidR="00E52D77" w:rsidRPr="00392BCF">
        <w:rPr>
          <w:rFonts w:asciiTheme="majorBidi" w:hAnsiTheme="majorBidi" w:cstheme="majorBidi"/>
          <w:b w:val="0"/>
          <w:bCs w:val="0"/>
        </w:rPr>
        <w:lastRenderedPageBreak/>
        <w:t>ajaran-ajaran ini, yang memerlukan wacana dan adaptasi berkelanjutan dalam yurisprudensi Islam.</w:t>
      </w:r>
    </w:p>
    <w:p w14:paraId="4934D632" w14:textId="08BC69B2" w:rsidR="00E52D77" w:rsidRPr="00392BCF" w:rsidRDefault="00F076BE" w:rsidP="005875DA">
      <w:pPr>
        <w:pStyle w:val="Heading3"/>
        <w:spacing w:after="120"/>
        <w:ind w:firstLine="709"/>
        <w:rPr>
          <w:rFonts w:asciiTheme="majorBidi" w:hAnsiTheme="majorBidi" w:cstheme="majorBidi"/>
          <w:b w:val="0"/>
          <w:bCs w:val="0"/>
        </w:rPr>
      </w:pPr>
      <w:r w:rsidRPr="00392BCF">
        <w:rPr>
          <w:rFonts w:asciiTheme="majorBidi" w:hAnsiTheme="majorBidi" w:cstheme="majorBidi"/>
          <w:b w:val="0"/>
          <w:bCs w:val="0"/>
          <w:shd w:val="clear" w:color="auto" w:fill="FFFFFF"/>
          <w:lang w:val="id-ID"/>
        </w:rPr>
        <w:t>Makalah ini membahas mengenai v</w:t>
      </w:r>
      <w:r w:rsidR="00492243" w:rsidRPr="00392BCF">
        <w:rPr>
          <w:rFonts w:asciiTheme="majorBidi" w:hAnsiTheme="majorBidi" w:cstheme="majorBidi"/>
          <w:b w:val="0"/>
          <w:bCs w:val="0"/>
          <w:shd w:val="clear" w:color="auto" w:fill="FFFFFF"/>
        </w:rPr>
        <w:t>ariasi qirâât</w:t>
      </w:r>
      <w:r w:rsidRPr="00392BCF">
        <w:rPr>
          <w:rFonts w:asciiTheme="majorBidi" w:hAnsiTheme="majorBidi" w:cstheme="majorBidi"/>
          <w:b w:val="0"/>
          <w:bCs w:val="0"/>
          <w:shd w:val="clear" w:color="auto" w:fill="FFFFFF"/>
          <w:lang w:val="id-ID"/>
        </w:rPr>
        <w:t xml:space="preserve"> yang dilakukan oleh </w:t>
      </w:r>
      <w:r w:rsidR="00492243" w:rsidRPr="00392BCF">
        <w:rPr>
          <w:rFonts w:asciiTheme="majorBidi" w:hAnsiTheme="majorBidi" w:cstheme="majorBidi"/>
          <w:b w:val="0"/>
          <w:bCs w:val="0"/>
          <w:shd w:val="clear" w:color="auto" w:fill="FFFFFF"/>
        </w:rPr>
        <w:t xml:space="preserve"> </w:t>
      </w:r>
      <w:r w:rsidRPr="00392BCF">
        <w:rPr>
          <w:rFonts w:asciiTheme="majorBidi" w:hAnsiTheme="majorBidi" w:cstheme="majorBidi"/>
          <w:b w:val="0"/>
          <w:bCs w:val="0"/>
          <w:shd w:val="clear" w:color="auto" w:fill="FFFFFF"/>
        </w:rPr>
        <w:t xml:space="preserve">Abu Hayyan </w:t>
      </w:r>
      <w:r w:rsidR="00492243" w:rsidRPr="00392BCF">
        <w:rPr>
          <w:rFonts w:asciiTheme="majorBidi" w:hAnsiTheme="majorBidi" w:cstheme="majorBidi"/>
          <w:b w:val="0"/>
          <w:bCs w:val="0"/>
          <w:shd w:val="clear" w:color="auto" w:fill="FFFFFF"/>
        </w:rPr>
        <w:t xml:space="preserve">dalam Surat Al-Baqarah ayat 280 memiliki implikasi terhadap hukum </w:t>
      </w:r>
      <w:r w:rsidR="00890787" w:rsidRPr="00392BCF">
        <w:rPr>
          <w:rFonts w:asciiTheme="majorBidi" w:hAnsiTheme="majorBidi" w:cstheme="majorBidi"/>
          <w:b w:val="0"/>
          <w:bCs w:val="0"/>
          <w:shd w:val="clear" w:color="auto" w:fill="FFFFFF"/>
          <w:lang w:val="id-ID"/>
        </w:rPr>
        <w:t xml:space="preserve">utang </w:t>
      </w:r>
      <w:r w:rsidR="00492243" w:rsidRPr="00392BCF">
        <w:rPr>
          <w:rFonts w:asciiTheme="majorBidi" w:hAnsiTheme="majorBidi" w:cstheme="majorBidi"/>
          <w:b w:val="0"/>
          <w:bCs w:val="0"/>
          <w:shd w:val="clear" w:color="auto" w:fill="FFFFFF"/>
        </w:rPr>
        <w:t xml:space="preserve">piutang dalam Islam, mempengaruhi pemahaman dan praktik keuangan Islam. </w:t>
      </w:r>
      <w:r w:rsidR="00E52D77" w:rsidRPr="00392BCF">
        <w:rPr>
          <w:rFonts w:asciiTheme="majorBidi" w:hAnsiTheme="majorBidi" w:cstheme="majorBidi"/>
          <w:b w:val="0"/>
          <w:bCs w:val="0"/>
        </w:rPr>
        <w:t xml:space="preserve">Perbedaan dalam pembacaan qirāʾāt dapat mengubah arti kewajiban utang, mempengaruhi </w:t>
      </w:r>
      <w:proofErr w:type="gramStart"/>
      <w:r w:rsidR="00E52D77" w:rsidRPr="00392BCF">
        <w:rPr>
          <w:rFonts w:asciiTheme="majorBidi" w:hAnsiTheme="majorBidi" w:cstheme="majorBidi"/>
          <w:b w:val="0"/>
          <w:bCs w:val="0"/>
        </w:rPr>
        <w:t>cara</w:t>
      </w:r>
      <w:proofErr w:type="gramEnd"/>
      <w:r w:rsidR="00E52D77" w:rsidRPr="00392BCF">
        <w:rPr>
          <w:rFonts w:asciiTheme="majorBidi" w:hAnsiTheme="majorBidi" w:cstheme="majorBidi"/>
          <w:b w:val="0"/>
          <w:bCs w:val="0"/>
        </w:rPr>
        <w:t xml:space="preserve"> utang dipahami dan dikelola dalam keuangan syariah. Para ulama dan mufassir memiliki pandangan yang beragam tentang ayat ini, menekankan perlunya analisis kontekstual dalam menangani masalah keuangan di bawah hukum Syariah. Dalam menafsirkan variasi ini, para sarjana menekankan pentingnya maqāṣid (tujuan) syariah, yang bertujuan untuk mencapai manfaat sosial dan keadilan dalam transaksi keuangan.</w:t>
      </w:r>
      <w:r w:rsidR="00E52D77" w:rsidRPr="00392BCF">
        <w:rPr>
          <w:rStyle w:val="FootnoteReference"/>
          <w:rFonts w:asciiTheme="majorBidi" w:hAnsiTheme="majorBidi" w:cstheme="majorBidi"/>
          <w:b w:val="0"/>
          <w:bCs w:val="0"/>
        </w:rPr>
        <w:footnoteReference w:id="11"/>
      </w:r>
      <w:r w:rsidR="00E52D77" w:rsidRPr="00392BCF">
        <w:rPr>
          <w:rFonts w:asciiTheme="majorBidi" w:hAnsiTheme="majorBidi" w:cstheme="majorBidi"/>
          <w:b w:val="0"/>
          <w:bCs w:val="0"/>
        </w:rPr>
        <w:t xml:space="preserve"> </w:t>
      </w:r>
    </w:p>
    <w:p w14:paraId="285FC388" w14:textId="1ABBE395" w:rsidR="00E52D77" w:rsidRPr="00392BCF" w:rsidRDefault="00492243" w:rsidP="005875DA">
      <w:pPr>
        <w:pStyle w:val="Heading3"/>
        <w:spacing w:after="120"/>
        <w:ind w:firstLine="709"/>
        <w:rPr>
          <w:rFonts w:asciiTheme="majorBidi" w:hAnsiTheme="majorBidi" w:cstheme="majorBidi"/>
          <w:b w:val="0"/>
          <w:bCs w:val="0"/>
          <w:shd w:val="clear" w:color="auto" w:fill="FFFFFF"/>
        </w:rPr>
      </w:pPr>
      <w:r w:rsidRPr="00392BCF">
        <w:rPr>
          <w:rFonts w:asciiTheme="majorBidi" w:hAnsiTheme="majorBidi" w:cstheme="majorBidi"/>
          <w:b w:val="0"/>
          <w:bCs w:val="0"/>
          <w:shd w:val="clear" w:color="auto" w:fill="FFFFFF"/>
        </w:rPr>
        <w:t>Cendekiawan dan mufassir berbeda dalam interpretasi mereka tentang variasi ini, yang dapat berdampak pada perlakuan utang</w:t>
      </w:r>
      <w:r w:rsidR="00890787" w:rsidRPr="00392BCF">
        <w:rPr>
          <w:rFonts w:asciiTheme="majorBidi" w:hAnsiTheme="majorBidi" w:cstheme="majorBidi"/>
          <w:b w:val="0"/>
          <w:bCs w:val="0"/>
          <w:shd w:val="clear" w:color="auto" w:fill="FFFFFF"/>
          <w:lang w:val="id-ID"/>
        </w:rPr>
        <w:t xml:space="preserve"> </w:t>
      </w:r>
      <w:r w:rsidR="00890787" w:rsidRPr="00392BCF">
        <w:rPr>
          <w:rFonts w:asciiTheme="majorBidi" w:hAnsiTheme="majorBidi" w:cstheme="majorBidi"/>
          <w:b w:val="0"/>
          <w:bCs w:val="0"/>
          <w:shd w:val="clear" w:color="auto" w:fill="FFFFFF"/>
        </w:rPr>
        <w:t>piutang</w:t>
      </w:r>
      <w:r w:rsidRPr="00392BCF">
        <w:rPr>
          <w:rFonts w:asciiTheme="majorBidi" w:hAnsiTheme="majorBidi" w:cstheme="majorBidi"/>
          <w:b w:val="0"/>
          <w:bCs w:val="0"/>
          <w:shd w:val="clear" w:color="auto" w:fill="FFFFFF"/>
        </w:rPr>
        <w:t>. Perspektif yang beragam dalam yurisprudensi Islam menyoroti pentingnya interpretasi kontekstual dan analisis kritis dalam menangani masalah-masalah keuangan, seperti perdagangan utang dan transaksi berbasis bunga, dalam kerangka hukum Syariah.</w:t>
      </w:r>
      <w:r w:rsidRPr="00392BCF">
        <w:rPr>
          <w:rStyle w:val="FootnoteReference"/>
          <w:rFonts w:asciiTheme="majorBidi" w:hAnsiTheme="majorBidi" w:cstheme="majorBidi"/>
          <w:b w:val="0"/>
          <w:bCs w:val="0"/>
        </w:rPr>
        <w:footnoteReference w:id="12"/>
      </w:r>
      <w:r w:rsidRPr="00392BCF">
        <w:rPr>
          <w:rFonts w:asciiTheme="majorBidi" w:hAnsiTheme="majorBidi" w:cstheme="majorBidi"/>
          <w:b w:val="0"/>
          <w:bCs w:val="0"/>
          <w:shd w:val="clear" w:color="auto" w:fill="FFFFFF"/>
        </w:rPr>
        <w:t xml:space="preserve"> </w:t>
      </w:r>
    </w:p>
    <w:p w14:paraId="086D85F9" w14:textId="77777777" w:rsidR="00E52D77" w:rsidRPr="00392BCF" w:rsidRDefault="00E52D77" w:rsidP="005875DA">
      <w:pPr>
        <w:spacing w:after="120" w:line="240" w:lineRule="auto"/>
        <w:rPr>
          <w:rFonts w:asciiTheme="majorBidi" w:hAnsiTheme="majorBidi" w:cstheme="majorBidi"/>
          <w:lang w:eastAsia="zh-CN"/>
        </w:rPr>
      </w:pPr>
    </w:p>
    <w:p w14:paraId="02F66317" w14:textId="0AF54537" w:rsidR="003C6A26" w:rsidRPr="00392BCF" w:rsidRDefault="003C6A26" w:rsidP="005875DA">
      <w:pPr>
        <w:pStyle w:val="Heading3"/>
        <w:spacing w:after="120"/>
        <w:rPr>
          <w:rFonts w:asciiTheme="majorBidi" w:hAnsiTheme="majorBidi" w:cstheme="majorBidi"/>
        </w:rPr>
      </w:pPr>
      <w:r w:rsidRPr="00392BCF">
        <w:rPr>
          <w:rFonts w:asciiTheme="majorBidi" w:hAnsiTheme="majorBidi" w:cstheme="majorBidi"/>
        </w:rPr>
        <w:t>Metode Penelitian</w:t>
      </w:r>
    </w:p>
    <w:p w14:paraId="6D200A30" w14:textId="0763764D" w:rsidR="003C6A26" w:rsidRPr="00392BCF" w:rsidRDefault="003070D4" w:rsidP="005875DA">
      <w:pPr>
        <w:spacing w:after="120" w:line="240" w:lineRule="auto"/>
        <w:ind w:firstLine="709"/>
        <w:jc w:val="both"/>
        <w:rPr>
          <w:rFonts w:asciiTheme="majorBidi" w:hAnsiTheme="majorBidi" w:cstheme="majorBidi"/>
          <w:shd w:val="clear" w:color="auto" w:fill="FFFFFF"/>
        </w:rPr>
      </w:pPr>
      <w:r w:rsidRPr="00392BCF">
        <w:rPr>
          <w:rFonts w:asciiTheme="majorBidi" w:hAnsiTheme="majorBidi" w:cstheme="majorBidi"/>
          <w:shd w:val="clear" w:color="auto" w:fill="FFFFFF"/>
          <w:lang w:val="id-ID"/>
        </w:rPr>
        <w:t>P</w:t>
      </w:r>
      <w:r w:rsidR="000059EF" w:rsidRPr="00392BCF">
        <w:rPr>
          <w:rFonts w:asciiTheme="majorBidi" w:hAnsiTheme="majorBidi" w:cstheme="majorBidi"/>
          <w:shd w:val="clear" w:color="auto" w:fill="FFFFFF"/>
          <w:lang w:val="id-ID"/>
        </w:rPr>
        <w:t>enelitian</w:t>
      </w:r>
      <w:r w:rsidRPr="00392BCF">
        <w:rPr>
          <w:rFonts w:asciiTheme="majorBidi" w:hAnsiTheme="majorBidi" w:cstheme="majorBidi"/>
          <w:shd w:val="clear" w:color="auto" w:fill="FFFFFF"/>
          <w:lang w:val="id-ID"/>
        </w:rPr>
        <w:t xml:space="preserve"> ini</w:t>
      </w:r>
      <w:r w:rsidR="000059EF" w:rsidRPr="00392BCF">
        <w:rPr>
          <w:rFonts w:asciiTheme="majorBidi" w:hAnsiTheme="majorBidi" w:cstheme="majorBidi"/>
          <w:shd w:val="clear" w:color="auto" w:fill="FFFFFF"/>
          <w:lang w:val="id-ID"/>
        </w:rPr>
        <w:t xml:space="preserve"> </w:t>
      </w:r>
      <w:r w:rsidRPr="00392BCF">
        <w:rPr>
          <w:rFonts w:asciiTheme="majorBidi" w:hAnsiTheme="majorBidi" w:cstheme="majorBidi"/>
          <w:shd w:val="clear" w:color="auto" w:fill="FFFFFF"/>
          <w:lang w:val="id-ID"/>
        </w:rPr>
        <w:t>meng</w:t>
      </w:r>
      <w:r w:rsidR="000059EF" w:rsidRPr="00392BCF">
        <w:rPr>
          <w:rFonts w:asciiTheme="majorBidi" w:hAnsiTheme="majorBidi" w:cstheme="majorBidi"/>
          <w:shd w:val="clear" w:color="auto" w:fill="FFFFFF"/>
          <w:lang w:val="id-ID"/>
        </w:rPr>
        <w:t xml:space="preserve">gunakan </w:t>
      </w:r>
      <w:r w:rsidRPr="00392BCF">
        <w:rPr>
          <w:rFonts w:asciiTheme="majorBidi" w:hAnsiTheme="majorBidi" w:cstheme="majorBidi"/>
          <w:shd w:val="clear" w:color="auto" w:fill="FFFFFF"/>
          <w:lang w:val="id-ID"/>
        </w:rPr>
        <w:t>penelitian</w:t>
      </w:r>
      <w:r w:rsidR="003232E1" w:rsidRPr="00392BCF">
        <w:rPr>
          <w:rFonts w:asciiTheme="majorBidi" w:hAnsiTheme="majorBidi" w:cstheme="majorBidi"/>
          <w:shd w:val="clear" w:color="auto" w:fill="FFFFFF"/>
        </w:rPr>
        <w:t xml:space="preserve"> kualitatif</w:t>
      </w:r>
      <w:r w:rsidRPr="00392BCF">
        <w:rPr>
          <w:rFonts w:asciiTheme="majorBidi" w:hAnsiTheme="majorBidi" w:cstheme="majorBidi"/>
          <w:shd w:val="clear" w:color="auto" w:fill="FFFFFF"/>
          <w:lang w:val="id-ID"/>
        </w:rPr>
        <w:t>, d</w:t>
      </w:r>
      <w:r w:rsidRPr="00392BCF">
        <w:rPr>
          <w:rFonts w:asciiTheme="majorBidi" w:hAnsiTheme="majorBidi" w:cstheme="majorBidi"/>
          <w:shd w:val="clear" w:color="auto" w:fill="FFFFFF"/>
        </w:rPr>
        <w:t>alam menganalisis teks Quran terkait dengan utang</w:t>
      </w:r>
      <w:r w:rsidRPr="00392BCF">
        <w:rPr>
          <w:rFonts w:asciiTheme="majorBidi" w:hAnsiTheme="majorBidi" w:cstheme="majorBidi"/>
          <w:shd w:val="clear" w:color="auto" w:fill="FFFFFF"/>
          <w:lang w:val="id-ID"/>
        </w:rPr>
        <w:t xml:space="preserve"> </w:t>
      </w:r>
      <w:r w:rsidRPr="00392BCF">
        <w:rPr>
          <w:rFonts w:asciiTheme="majorBidi" w:hAnsiTheme="majorBidi" w:cstheme="majorBidi"/>
          <w:shd w:val="clear" w:color="auto" w:fill="FFFFFF"/>
        </w:rPr>
        <w:t>piutang dalam</w:t>
      </w:r>
      <w:r w:rsidRPr="00392BCF">
        <w:rPr>
          <w:rFonts w:asciiTheme="majorBidi" w:hAnsiTheme="majorBidi" w:cstheme="majorBidi"/>
          <w:shd w:val="clear" w:color="auto" w:fill="FFFFFF"/>
          <w:lang w:val="id-ID"/>
        </w:rPr>
        <w:t xml:space="preserve"> </w:t>
      </w:r>
      <w:r w:rsidRPr="00392BCF">
        <w:rPr>
          <w:rFonts w:asciiTheme="majorBidi" w:hAnsiTheme="majorBidi" w:cstheme="majorBidi"/>
          <w:shd w:val="clear" w:color="auto" w:fill="FFFFFF"/>
        </w:rPr>
        <w:t>Surah Al-Baqarah ayat 280</w:t>
      </w:r>
      <w:r w:rsidRPr="00392BCF">
        <w:rPr>
          <w:rFonts w:asciiTheme="majorBidi" w:hAnsiTheme="majorBidi" w:cstheme="majorBidi"/>
          <w:shd w:val="clear" w:color="auto" w:fill="FFFFFF"/>
          <w:lang w:val="id-ID"/>
        </w:rPr>
        <w:t>,</w:t>
      </w:r>
      <w:r w:rsidR="003232E1" w:rsidRPr="00392BCF">
        <w:rPr>
          <w:rFonts w:asciiTheme="majorBidi" w:hAnsiTheme="majorBidi" w:cstheme="majorBidi"/>
          <w:shd w:val="clear" w:color="auto" w:fill="FFFFFF"/>
        </w:rPr>
        <w:t xml:space="preserve"> dengan </w:t>
      </w:r>
      <w:r w:rsidR="000059EF" w:rsidRPr="00392BCF">
        <w:rPr>
          <w:rFonts w:asciiTheme="majorBidi" w:hAnsiTheme="majorBidi" w:cstheme="majorBidi"/>
          <w:shd w:val="clear" w:color="auto" w:fill="FFFFFF"/>
          <w:lang w:val="id-ID"/>
        </w:rPr>
        <w:t>menggunakan metode</w:t>
      </w:r>
      <w:r w:rsidR="003232E1" w:rsidRPr="00392BCF">
        <w:rPr>
          <w:rFonts w:asciiTheme="majorBidi" w:hAnsiTheme="majorBidi" w:cstheme="majorBidi"/>
          <w:shd w:val="clear" w:color="auto" w:fill="FFFFFF"/>
        </w:rPr>
        <w:t xml:space="preserve"> deskriptif-analitik.</w:t>
      </w:r>
      <w:r w:rsidR="003232E1" w:rsidRPr="00392BCF">
        <w:rPr>
          <w:rStyle w:val="FootnoteReference"/>
          <w:rFonts w:asciiTheme="majorBidi" w:hAnsiTheme="majorBidi" w:cstheme="majorBidi"/>
          <w:shd w:val="clear" w:color="auto" w:fill="FFFFFF"/>
        </w:rPr>
        <w:footnoteReference w:id="13"/>
      </w:r>
      <w:r w:rsidR="003232E1" w:rsidRPr="00392BCF">
        <w:rPr>
          <w:rFonts w:asciiTheme="majorBidi" w:hAnsiTheme="majorBidi" w:cstheme="majorBidi"/>
          <w:shd w:val="clear" w:color="auto" w:fill="FFFFFF"/>
        </w:rPr>
        <w:t xml:space="preserve"> Sumber Data Primer </w:t>
      </w:r>
      <w:r w:rsidR="000059EF" w:rsidRPr="00392BCF">
        <w:rPr>
          <w:rFonts w:asciiTheme="majorBidi" w:hAnsiTheme="majorBidi" w:cstheme="majorBidi"/>
          <w:shd w:val="clear" w:color="auto" w:fill="FFFFFF"/>
          <w:lang w:val="id-ID"/>
        </w:rPr>
        <w:t>yaitu</w:t>
      </w:r>
      <w:r w:rsidR="003232E1" w:rsidRPr="00392BCF">
        <w:rPr>
          <w:rFonts w:asciiTheme="majorBidi" w:hAnsiTheme="majorBidi" w:cstheme="majorBidi"/>
          <w:shd w:val="clear" w:color="auto" w:fill="FFFFFF"/>
        </w:rPr>
        <w:t xml:space="preserve"> tafsir Abu Hayyan </w:t>
      </w:r>
      <w:r w:rsidR="00985C97" w:rsidRPr="00392BCF">
        <w:rPr>
          <w:rFonts w:asciiTheme="majorBidi" w:hAnsiTheme="majorBidi" w:cstheme="majorBidi"/>
          <w:shd w:val="clear" w:color="auto" w:fill="FFFFFF"/>
          <w:lang w:val="id-ID"/>
        </w:rPr>
        <w:t xml:space="preserve">yang berjudul </w:t>
      </w:r>
      <w:r w:rsidR="00985C97" w:rsidRPr="00392BCF">
        <w:rPr>
          <w:rFonts w:asciiTheme="majorBidi" w:hAnsiTheme="majorBidi" w:cstheme="majorBidi"/>
          <w:i/>
          <w:iCs/>
          <w:lang w:val="es-ES"/>
        </w:rPr>
        <w:t>al-Ba</w:t>
      </w:r>
      <w:r w:rsidR="00985C97" w:rsidRPr="00392BCF">
        <w:rPr>
          <w:rFonts w:asciiTheme="majorBidi" w:hAnsiTheme="majorBidi" w:cstheme="majorBidi"/>
          <w:i/>
          <w:iCs/>
          <w:u w:val="single"/>
          <w:lang w:val="es-ES"/>
        </w:rPr>
        <w:t>h</w:t>
      </w:r>
      <w:r w:rsidR="00985C97" w:rsidRPr="00392BCF">
        <w:rPr>
          <w:rFonts w:asciiTheme="majorBidi" w:hAnsiTheme="majorBidi" w:cstheme="majorBidi"/>
          <w:i/>
          <w:iCs/>
          <w:lang w:val="es-ES"/>
        </w:rPr>
        <w:t>r al-Mu</w:t>
      </w:r>
      <w:r w:rsidR="00985C97" w:rsidRPr="00392BCF">
        <w:rPr>
          <w:rFonts w:asciiTheme="majorBidi" w:hAnsiTheme="majorBidi" w:cstheme="majorBidi"/>
          <w:i/>
          <w:iCs/>
          <w:u w:val="single"/>
          <w:lang w:val="es-ES"/>
        </w:rPr>
        <w:t>h</w:t>
      </w:r>
      <w:r w:rsidR="00985C97" w:rsidRPr="00392BCF">
        <w:rPr>
          <w:rFonts w:asciiTheme="majorBidi" w:hAnsiTheme="majorBidi" w:cstheme="majorBidi"/>
          <w:i/>
          <w:iCs/>
          <w:lang w:val="es-ES"/>
        </w:rPr>
        <w:t>îth</w:t>
      </w:r>
      <w:r w:rsidR="00985C97" w:rsidRPr="00392BCF">
        <w:rPr>
          <w:rFonts w:asciiTheme="majorBidi" w:hAnsiTheme="majorBidi" w:cstheme="majorBidi"/>
          <w:lang w:val="es-ES"/>
        </w:rPr>
        <w:t xml:space="preserve">, </w:t>
      </w:r>
      <w:r w:rsidR="00985C97" w:rsidRPr="00392BCF">
        <w:rPr>
          <w:rFonts w:asciiTheme="majorBidi" w:hAnsiTheme="majorBidi" w:cstheme="majorBidi"/>
          <w:lang w:val="id-ID"/>
        </w:rPr>
        <w:t xml:space="preserve">dengan fokus bahasan </w:t>
      </w:r>
      <w:r w:rsidR="00985C97" w:rsidRPr="00392BCF">
        <w:rPr>
          <w:rFonts w:asciiTheme="majorBidi" w:hAnsiTheme="majorBidi" w:cstheme="majorBidi"/>
          <w:shd w:val="clear" w:color="auto" w:fill="FFFFFF"/>
        </w:rPr>
        <w:t>Surat Al-Baqarah ayat 280</w:t>
      </w:r>
      <w:r w:rsidR="00985C97" w:rsidRPr="00392BCF">
        <w:rPr>
          <w:rFonts w:asciiTheme="majorBidi" w:hAnsiTheme="majorBidi" w:cstheme="majorBidi"/>
          <w:shd w:val="clear" w:color="auto" w:fill="FFFFFF"/>
          <w:lang w:val="id-ID"/>
        </w:rPr>
        <w:t xml:space="preserve">, </w:t>
      </w:r>
      <w:r w:rsidR="003232E1" w:rsidRPr="00392BCF">
        <w:rPr>
          <w:rFonts w:asciiTheme="majorBidi" w:hAnsiTheme="majorBidi" w:cstheme="majorBidi"/>
          <w:shd w:val="clear" w:color="auto" w:fill="FFFFFF"/>
        </w:rPr>
        <w:t>yang membahas variasi qirâ'at pada ayat-ayat terkait</w:t>
      </w:r>
      <w:r w:rsidRPr="00392BCF">
        <w:rPr>
          <w:rFonts w:asciiTheme="majorBidi" w:hAnsiTheme="majorBidi" w:cstheme="majorBidi"/>
          <w:shd w:val="clear" w:color="auto" w:fill="FFFFFF"/>
          <w:lang w:val="id-ID"/>
        </w:rPr>
        <w:t xml:space="preserve"> utang piutang. Sumber data sekunder</w:t>
      </w:r>
      <w:r w:rsidR="003232E1" w:rsidRPr="00392BCF">
        <w:rPr>
          <w:rFonts w:asciiTheme="majorBidi" w:hAnsiTheme="majorBidi" w:cstheme="majorBidi"/>
          <w:shd w:val="clear" w:color="auto" w:fill="FFFFFF"/>
        </w:rPr>
        <w:t xml:space="preserve"> </w:t>
      </w:r>
      <w:r w:rsidRPr="00392BCF">
        <w:rPr>
          <w:rFonts w:asciiTheme="majorBidi" w:hAnsiTheme="majorBidi" w:cstheme="majorBidi"/>
          <w:shd w:val="clear" w:color="auto" w:fill="FFFFFF"/>
          <w:lang w:val="id-ID"/>
        </w:rPr>
        <w:t>yaitu</w:t>
      </w:r>
      <w:r w:rsidR="003232E1" w:rsidRPr="00392BCF">
        <w:rPr>
          <w:rFonts w:asciiTheme="majorBidi" w:hAnsiTheme="majorBidi" w:cstheme="majorBidi"/>
          <w:shd w:val="clear" w:color="auto" w:fill="FFFFFF"/>
        </w:rPr>
        <w:t xml:space="preserve"> artikel jurnal, buku, dan studi sebelumnya.</w:t>
      </w:r>
      <w:r w:rsidR="003232E1" w:rsidRPr="00392BCF">
        <w:rPr>
          <w:rStyle w:val="FootnoteReference"/>
          <w:rFonts w:asciiTheme="majorBidi" w:hAnsiTheme="majorBidi" w:cstheme="majorBidi"/>
          <w:shd w:val="clear" w:color="auto" w:fill="FFFFFF"/>
        </w:rPr>
        <w:footnoteReference w:id="14"/>
      </w:r>
      <w:r w:rsidR="003232E1" w:rsidRPr="00392BCF">
        <w:rPr>
          <w:rFonts w:asciiTheme="majorBidi" w:hAnsiTheme="majorBidi" w:cstheme="majorBidi"/>
          <w:shd w:val="clear" w:color="auto" w:fill="FFFFFF"/>
        </w:rPr>
        <w:t xml:space="preserve"> </w:t>
      </w:r>
    </w:p>
    <w:p w14:paraId="5292379E" w14:textId="12C5A638" w:rsidR="000059EF" w:rsidRPr="00392BCF" w:rsidRDefault="003070D4" w:rsidP="005875DA">
      <w:pPr>
        <w:spacing w:after="120" w:line="240" w:lineRule="auto"/>
        <w:ind w:firstLine="709"/>
        <w:jc w:val="both"/>
        <w:rPr>
          <w:rFonts w:asciiTheme="majorBidi" w:hAnsiTheme="majorBidi" w:cstheme="majorBidi"/>
          <w:highlight w:val="yellow"/>
        </w:rPr>
      </w:pPr>
      <w:r w:rsidRPr="00392BCF">
        <w:rPr>
          <w:rFonts w:asciiTheme="majorBidi" w:hAnsiTheme="majorBidi" w:cstheme="majorBidi"/>
          <w:shd w:val="clear" w:color="auto" w:fill="FFFFFF"/>
          <w:lang w:val="id-ID"/>
        </w:rPr>
        <w:lastRenderedPageBreak/>
        <w:t>Data selanjutnya dia</w:t>
      </w:r>
      <w:r w:rsidR="000059EF" w:rsidRPr="00392BCF">
        <w:rPr>
          <w:rFonts w:asciiTheme="majorBidi" w:hAnsiTheme="majorBidi" w:cstheme="majorBidi"/>
          <w:shd w:val="clear" w:color="auto" w:fill="FFFFFF"/>
        </w:rPr>
        <w:t>nalisis melalui Analisis Konten untuk mengidentifikasi tema dan konsep kunci dari ayat Quran, hadits, dan literatur yang relevan.</w:t>
      </w:r>
      <w:r w:rsidR="000059EF" w:rsidRPr="00392BCF">
        <w:rPr>
          <w:rStyle w:val="FootnoteReference"/>
          <w:rFonts w:asciiTheme="majorBidi" w:hAnsiTheme="majorBidi" w:cstheme="majorBidi"/>
          <w:shd w:val="clear" w:color="auto" w:fill="FFFFFF"/>
        </w:rPr>
        <w:footnoteReference w:id="15"/>
      </w:r>
      <w:r w:rsidR="000059EF" w:rsidRPr="00392BCF">
        <w:rPr>
          <w:rFonts w:asciiTheme="majorBidi" w:hAnsiTheme="majorBidi" w:cstheme="majorBidi"/>
          <w:shd w:val="clear" w:color="auto" w:fill="FFFFFF"/>
        </w:rPr>
        <w:t xml:space="preserve"> Analisis Tematik digunakan untuk menyusun data berdasarkan tema yang diidentifikasi, seperti konsep </w:t>
      </w:r>
      <w:r w:rsidR="00FD586F" w:rsidRPr="00392BCF">
        <w:rPr>
          <w:rFonts w:asciiTheme="majorBidi" w:hAnsiTheme="majorBidi" w:cstheme="majorBidi"/>
          <w:shd w:val="clear" w:color="auto" w:fill="FFFFFF"/>
        </w:rPr>
        <w:t>utang piutang</w:t>
      </w:r>
      <w:r w:rsidR="000059EF" w:rsidRPr="00392BCF">
        <w:rPr>
          <w:rFonts w:asciiTheme="majorBidi" w:hAnsiTheme="majorBidi" w:cstheme="majorBidi"/>
          <w:shd w:val="clear" w:color="auto" w:fill="FFFFFF"/>
        </w:rPr>
        <w:t xml:space="preserve"> dan implikasi hukum Syariah.</w:t>
      </w:r>
      <w:r w:rsidR="000059EF" w:rsidRPr="00392BCF">
        <w:rPr>
          <w:rStyle w:val="FootnoteReference"/>
          <w:rFonts w:asciiTheme="majorBidi" w:hAnsiTheme="majorBidi" w:cstheme="majorBidi"/>
          <w:shd w:val="clear" w:color="auto" w:fill="FFFFFF"/>
        </w:rPr>
        <w:footnoteReference w:id="16"/>
      </w:r>
      <w:r w:rsidR="000059EF" w:rsidRPr="00392BCF">
        <w:rPr>
          <w:rFonts w:asciiTheme="majorBidi" w:hAnsiTheme="majorBidi" w:cstheme="majorBidi"/>
          <w:shd w:val="clear" w:color="auto" w:fill="FFFFFF"/>
        </w:rPr>
        <w:t xml:space="preserve"> Untuk memastikan keakuratan dan konsistensi data, validasi data menggunakan teknik triangulasi dengan membandingkan informasi dari berbagai sumber.</w:t>
      </w:r>
      <w:r w:rsidR="00FD586F" w:rsidRPr="00392BCF">
        <w:rPr>
          <w:rStyle w:val="FootnoteReference"/>
          <w:rFonts w:asciiTheme="majorBidi" w:hAnsiTheme="majorBidi" w:cstheme="majorBidi"/>
          <w:shd w:val="clear" w:color="auto" w:fill="FFFFFF"/>
        </w:rPr>
        <w:footnoteReference w:id="17"/>
      </w:r>
      <w:r w:rsidR="000059EF" w:rsidRPr="00392BCF">
        <w:rPr>
          <w:rFonts w:asciiTheme="majorBidi" w:hAnsiTheme="majorBidi" w:cstheme="majorBidi"/>
          <w:shd w:val="clear" w:color="auto" w:fill="FFFFFF"/>
        </w:rPr>
        <w:t xml:space="preserve"> Pendekatan komprehensif ini memungkinkan pemahaman mendalam tentang konsep </w:t>
      </w:r>
      <w:r w:rsidR="00FD586F" w:rsidRPr="00392BCF">
        <w:rPr>
          <w:rFonts w:asciiTheme="majorBidi" w:hAnsiTheme="majorBidi" w:cstheme="majorBidi"/>
          <w:shd w:val="clear" w:color="auto" w:fill="FFFFFF"/>
        </w:rPr>
        <w:t>utang piutang</w:t>
      </w:r>
      <w:r w:rsidR="000059EF" w:rsidRPr="00392BCF">
        <w:rPr>
          <w:rFonts w:asciiTheme="majorBidi" w:hAnsiTheme="majorBidi" w:cstheme="majorBidi"/>
          <w:shd w:val="clear" w:color="auto" w:fill="FFFFFF"/>
        </w:rPr>
        <w:t xml:space="preserve"> dalam Islam dengan menganalisis berbagai sumber dan memastikan keandalan temuan melalui triangulasi.</w:t>
      </w:r>
    </w:p>
    <w:p w14:paraId="14ABE090" w14:textId="77777777" w:rsidR="00FD586F" w:rsidRPr="00392BCF" w:rsidRDefault="00FD586F" w:rsidP="005875DA">
      <w:pPr>
        <w:pStyle w:val="Heading3"/>
        <w:spacing w:after="120"/>
        <w:rPr>
          <w:rFonts w:asciiTheme="majorBidi" w:hAnsiTheme="majorBidi" w:cstheme="majorBidi"/>
        </w:rPr>
      </w:pPr>
    </w:p>
    <w:p w14:paraId="0133C81B" w14:textId="77777777" w:rsidR="003C6A26" w:rsidRPr="00392BCF" w:rsidRDefault="003C6A26" w:rsidP="005875DA">
      <w:pPr>
        <w:pStyle w:val="Heading3"/>
        <w:spacing w:after="120"/>
        <w:rPr>
          <w:rFonts w:asciiTheme="majorBidi" w:hAnsiTheme="majorBidi" w:cstheme="majorBidi"/>
        </w:rPr>
      </w:pPr>
      <w:r w:rsidRPr="00392BCF">
        <w:rPr>
          <w:rFonts w:asciiTheme="majorBidi" w:hAnsiTheme="majorBidi" w:cstheme="majorBidi"/>
        </w:rPr>
        <w:t>Hasil</w:t>
      </w:r>
    </w:p>
    <w:p w14:paraId="5B9769A8" w14:textId="77777777" w:rsidR="00FD586F" w:rsidRPr="00392BCF" w:rsidRDefault="003C6A26" w:rsidP="005875DA">
      <w:pPr>
        <w:pStyle w:val="NormalWeb"/>
        <w:spacing w:before="0" w:beforeAutospacing="0" w:after="120" w:afterAutospacing="0"/>
        <w:ind w:firstLine="709"/>
        <w:jc w:val="both"/>
        <w:rPr>
          <w:rFonts w:asciiTheme="majorBidi" w:hAnsiTheme="majorBidi" w:cstheme="majorBidi"/>
        </w:rPr>
      </w:pPr>
      <w:r w:rsidRPr="00392BCF">
        <w:rPr>
          <w:rFonts w:asciiTheme="majorBidi" w:hAnsiTheme="majorBidi" w:cstheme="majorBidi"/>
        </w:rPr>
        <w:t>Hasil penelitian menunjukkan bahwa terdapat beberapa variasi qirâ`ât dalam Surat Al-Baqarah ayat 280 yang mempengaruhi pemahaman dan aplikasi hukum hutang piutang dalam Islam. Variasi ini mencakup perbedaan dalam penggunaan kata dan struktur kalimat yang memberikan nuansa makna yang berbeda, meskipun secara keseluruhan tetap dalam kera</w:t>
      </w:r>
      <w:r w:rsidR="00FD586F" w:rsidRPr="00392BCF">
        <w:rPr>
          <w:rFonts w:asciiTheme="majorBidi" w:hAnsiTheme="majorBidi" w:cstheme="majorBidi"/>
        </w:rPr>
        <w:t xml:space="preserve">ngka hukum yang </w:t>
      </w:r>
      <w:proofErr w:type="gramStart"/>
      <w:r w:rsidR="00FD586F" w:rsidRPr="00392BCF">
        <w:rPr>
          <w:rFonts w:asciiTheme="majorBidi" w:hAnsiTheme="majorBidi" w:cstheme="majorBidi"/>
        </w:rPr>
        <w:t>sama</w:t>
      </w:r>
      <w:proofErr w:type="gramEnd"/>
      <w:r w:rsidR="00FD586F" w:rsidRPr="00392BCF">
        <w:rPr>
          <w:rFonts w:asciiTheme="majorBidi" w:hAnsiTheme="majorBidi" w:cstheme="majorBidi"/>
        </w:rPr>
        <w:t xml:space="preserve">. </w:t>
      </w:r>
      <w:r w:rsidR="00FD586F" w:rsidRPr="00392BCF">
        <w:rPr>
          <w:rFonts w:asciiTheme="majorBidi" w:hAnsiTheme="majorBidi" w:cstheme="majorBidi"/>
          <w:lang w:val="id-ID"/>
        </w:rPr>
        <w:t xml:space="preserve">Temuan yang dimaksud yaitu bahwa </w:t>
      </w:r>
      <w:r w:rsidRPr="00392BCF">
        <w:rPr>
          <w:rStyle w:val="HTMLCode"/>
          <w:rFonts w:asciiTheme="majorBidi" w:hAnsiTheme="majorBidi" w:cstheme="majorBidi"/>
          <w:sz w:val="24"/>
          <w:szCs w:val="24"/>
        </w:rPr>
        <w:t>Qirâ</w:t>
      </w:r>
      <w:r w:rsidRPr="00392BCF">
        <w:rPr>
          <w:rFonts w:asciiTheme="majorBidi" w:hAnsiTheme="majorBidi" w:cstheme="majorBidi"/>
        </w:rPr>
        <w:t>ât yang mutawâtirah lebih sering digunakan dan diakui oleh mayoritas ulama, sedangkan qirâ`ât syâdzdzah memberikan variasi makna tambahan yang memperkaya pemahaman ayat.</w:t>
      </w:r>
    </w:p>
    <w:p w14:paraId="248DA12E" w14:textId="7B41C9D7" w:rsidR="003C6A26" w:rsidRPr="00392BCF" w:rsidRDefault="003C6A26" w:rsidP="005875DA">
      <w:pPr>
        <w:pStyle w:val="NormalWeb"/>
        <w:spacing w:before="0" w:beforeAutospacing="0" w:after="120" w:afterAutospacing="0"/>
        <w:ind w:firstLine="709"/>
        <w:jc w:val="both"/>
        <w:rPr>
          <w:rFonts w:asciiTheme="majorBidi" w:hAnsiTheme="majorBidi" w:cstheme="majorBidi"/>
        </w:rPr>
      </w:pPr>
      <w:r w:rsidRPr="00392BCF">
        <w:rPr>
          <w:rFonts w:asciiTheme="majorBidi" w:hAnsiTheme="majorBidi" w:cstheme="majorBidi"/>
        </w:rPr>
        <w:t>Perbedaan dalam qirâ</w:t>
      </w:r>
      <w:r w:rsidRPr="00392BCF">
        <w:rPr>
          <w:rStyle w:val="HTMLCode"/>
          <w:rFonts w:asciiTheme="majorBidi" w:hAnsiTheme="majorBidi" w:cstheme="majorBidi"/>
          <w:sz w:val="24"/>
          <w:szCs w:val="24"/>
        </w:rPr>
        <w:t xml:space="preserve">ât dapat mempengaruhi pandangan tentang kewajiban memberikan kelonggaran kepada orang yang berhutang. Misalnya, apakah perintah untuk memberikan kelonggaran bersifat wajib atau </w:t>
      </w:r>
      <w:proofErr w:type="gramStart"/>
      <w:r w:rsidRPr="00392BCF">
        <w:rPr>
          <w:rStyle w:val="HTMLCode"/>
          <w:rFonts w:asciiTheme="majorBidi" w:hAnsiTheme="majorBidi" w:cstheme="majorBidi"/>
          <w:sz w:val="24"/>
          <w:szCs w:val="24"/>
        </w:rPr>
        <w:t>sunnah</w:t>
      </w:r>
      <w:proofErr w:type="gramEnd"/>
      <w:r w:rsidRPr="00392BCF">
        <w:rPr>
          <w:rStyle w:val="HTMLCode"/>
          <w:rFonts w:asciiTheme="majorBidi" w:hAnsiTheme="majorBidi" w:cstheme="majorBidi"/>
          <w:sz w:val="24"/>
          <w:szCs w:val="24"/>
        </w:rPr>
        <w:t xml:space="preserve"> tergantung pada interpretasi qirâ</w:t>
      </w:r>
      <w:r w:rsidRPr="00392BCF">
        <w:rPr>
          <w:rFonts w:asciiTheme="majorBidi" w:hAnsiTheme="majorBidi" w:cstheme="majorBidi"/>
        </w:rPr>
        <w:t>ât tertentu.</w:t>
      </w:r>
      <w:r w:rsidR="00FD586F" w:rsidRPr="00392BCF">
        <w:rPr>
          <w:rFonts w:asciiTheme="majorBidi" w:hAnsiTheme="majorBidi" w:cstheme="majorBidi"/>
          <w:lang w:val="id-ID"/>
        </w:rPr>
        <w:t xml:space="preserve"> </w:t>
      </w:r>
      <w:r w:rsidRPr="00392BCF">
        <w:rPr>
          <w:rFonts w:asciiTheme="majorBidi" w:hAnsiTheme="majorBidi" w:cstheme="majorBidi"/>
        </w:rPr>
        <w:t xml:space="preserve">Pendapat ulama mengenai interpretasi dan aplikasi hukum hutang piutang juga bervariasi, dengan sebagian fuqaha menekankan kewajiban memberikan kelonggaran sementara yang lain melihatnya sebagai anjuran </w:t>
      </w:r>
      <w:proofErr w:type="gramStart"/>
      <w:r w:rsidRPr="00392BCF">
        <w:rPr>
          <w:rFonts w:asciiTheme="majorBidi" w:hAnsiTheme="majorBidi" w:cstheme="majorBidi"/>
        </w:rPr>
        <w:t>sunnah</w:t>
      </w:r>
      <w:proofErr w:type="gramEnd"/>
      <w:r w:rsidRPr="00392BCF">
        <w:rPr>
          <w:rFonts w:asciiTheme="majorBidi" w:hAnsiTheme="majorBidi" w:cstheme="majorBidi"/>
        </w:rPr>
        <w:t>.</w:t>
      </w:r>
    </w:p>
    <w:p w14:paraId="063F863E" w14:textId="77777777" w:rsidR="003C6A26" w:rsidRPr="00392BCF" w:rsidRDefault="003C6A26" w:rsidP="005875DA">
      <w:pPr>
        <w:spacing w:after="120" w:line="240" w:lineRule="auto"/>
        <w:jc w:val="both"/>
        <w:rPr>
          <w:rFonts w:asciiTheme="majorBidi" w:hAnsiTheme="majorBidi" w:cstheme="majorBidi"/>
          <w:b/>
          <w:bCs/>
        </w:rPr>
      </w:pPr>
    </w:p>
    <w:p w14:paraId="73FF7361" w14:textId="00E1A857" w:rsidR="005B6EAC" w:rsidRPr="00392BCF" w:rsidRDefault="005B6EAC" w:rsidP="005875DA">
      <w:pPr>
        <w:spacing w:after="120" w:line="240" w:lineRule="auto"/>
        <w:rPr>
          <w:rFonts w:asciiTheme="majorBidi" w:hAnsiTheme="majorBidi" w:cstheme="majorBidi"/>
          <w:b/>
          <w:bCs/>
        </w:rPr>
      </w:pPr>
      <w:r w:rsidRPr="00392BCF">
        <w:rPr>
          <w:rFonts w:asciiTheme="majorBidi" w:hAnsiTheme="majorBidi" w:cstheme="majorBidi"/>
          <w:b/>
          <w:bCs/>
        </w:rPr>
        <w:t>Prinsip Islam dalam Utang Piutang dan Etika Keuangan</w:t>
      </w:r>
    </w:p>
    <w:p w14:paraId="0003CC9C" w14:textId="69F77A63" w:rsidR="005B6EAC" w:rsidRPr="00392BCF" w:rsidRDefault="00B523EB" w:rsidP="005875DA">
      <w:pPr>
        <w:widowControl w:val="0"/>
        <w:spacing w:after="120" w:line="240" w:lineRule="auto"/>
        <w:ind w:firstLine="709"/>
        <w:jc w:val="both"/>
        <w:rPr>
          <w:rFonts w:asciiTheme="majorBidi" w:hAnsiTheme="majorBidi" w:cstheme="majorBidi"/>
          <w:shd w:val="clear" w:color="auto" w:fill="FFFFFF"/>
        </w:rPr>
      </w:pPr>
      <w:r w:rsidRPr="00392BCF">
        <w:rPr>
          <w:rFonts w:asciiTheme="majorBidi" w:hAnsiTheme="majorBidi" w:cstheme="majorBidi"/>
          <w:shd w:val="clear" w:color="auto" w:fill="FFFFFF"/>
        </w:rPr>
        <w:t xml:space="preserve">Dalam Surat Al-Baqarah [2]: 280, Allah membahas masalah </w:t>
      </w:r>
      <w:r w:rsidR="00FD586F" w:rsidRPr="00392BCF">
        <w:rPr>
          <w:rFonts w:asciiTheme="majorBidi" w:hAnsiTheme="majorBidi" w:cstheme="majorBidi"/>
          <w:shd w:val="clear" w:color="auto" w:fill="FFFFFF"/>
        </w:rPr>
        <w:t xml:space="preserve">utang </w:t>
      </w:r>
      <w:r w:rsidR="00FD586F" w:rsidRPr="00392BCF">
        <w:rPr>
          <w:rFonts w:asciiTheme="majorBidi" w:hAnsiTheme="majorBidi" w:cstheme="majorBidi"/>
          <w:shd w:val="clear" w:color="auto" w:fill="FFFFFF"/>
        </w:rPr>
        <w:lastRenderedPageBreak/>
        <w:t>piutang</w:t>
      </w:r>
      <w:r w:rsidRPr="00392BCF">
        <w:rPr>
          <w:rFonts w:asciiTheme="majorBidi" w:hAnsiTheme="majorBidi" w:cstheme="majorBidi"/>
          <w:shd w:val="clear" w:color="auto" w:fill="FFFFFF"/>
        </w:rPr>
        <w:t>, menekankan larangan riba dan menginstruksikan orang percaya untuk menangani hutang dengan adil dan belas kasihan. Ayat ini menyoroti pentingnya tidak membebani debitur dengan biaya tambahan di luar jumlah pokok yang dipinjamkan, mempromosikan praktik pinjaman etis. Selain itu, ayat ini menyarankan pemberian perpanjangan kepada debitur yang menghadapi kesulitan keuangan sambil mendesak pembayaran segera dari mereka yang mampu, selaras dengan ajaran Nabi bahwa menunda pembayaran utang, terutama oleh orang kaya, adalah tidak adil.</w:t>
      </w:r>
      <w:r w:rsidR="005875DA">
        <w:rPr>
          <w:rStyle w:val="FootnoteReference"/>
          <w:rFonts w:asciiTheme="majorBidi" w:hAnsiTheme="majorBidi"/>
          <w:shd w:val="clear" w:color="auto" w:fill="FFFFFF"/>
        </w:rPr>
        <w:footnoteReference w:id="18"/>
      </w:r>
      <w:r w:rsidRPr="00392BCF">
        <w:rPr>
          <w:rFonts w:asciiTheme="majorBidi" w:hAnsiTheme="majorBidi" w:cstheme="majorBidi"/>
          <w:shd w:val="clear" w:color="auto" w:fill="FFFFFF"/>
        </w:rPr>
        <w:t xml:space="preserve"> </w:t>
      </w:r>
    </w:p>
    <w:p w14:paraId="38623BC5" w14:textId="6056AEA5" w:rsidR="00E52D77" w:rsidRPr="00392BCF" w:rsidRDefault="00E52D77" w:rsidP="005875DA">
      <w:pPr>
        <w:widowControl w:val="0"/>
        <w:spacing w:after="120" w:line="240" w:lineRule="auto"/>
        <w:ind w:firstLine="709"/>
        <w:jc w:val="both"/>
        <w:rPr>
          <w:rFonts w:asciiTheme="majorBidi" w:hAnsiTheme="majorBidi" w:cstheme="majorBidi"/>
          <w:shd w:val="clear" w:color="auto" w:fill="FFFFFF"/>
        </w:rPr>
      </w:pPr>
      <w:r w:rsidRPr="00392BCF">
        <w:rPr>
          <w:rFonts w:asciiTheme="majorBidi" w:hAnsiTheme="majorBidi" w:cstheme="majorBidi"/>
          <w:shd w:val="clear" w:color="auto" w:fill="FFFFFF"/>
        </w:rPr>
        <w:t>Surah Al-Baqarah [2]: 280 menekankan p</w:t>
      </w:r>
      <w:r w:rsidR="00985C97" w:rsidRPr="00392BCF">
        <w:rPr>
          <w:rFonts w:asciiTheme="majorBidi" w:hAnsiTheme="majorBidi" w:cstheme="majorBidi"/>
          <w:shd w:val="clear" w:color="auto" w:fill="FFFFFF"/>
        </w:rPr>
        <w:t xml:space="preserve">entingnya praktik pinjaman </w:t>
      </w:r>
      <w:r w:rsidRPr="00392BCF">
        <w:rPr>
          <w:rFonts w:asciiTheme="majorBidi" w:hAnsiTheme="majorBidi" w:cstheme="majorBidi"/>
          <w:shd w:val="clear" w:color="auto" w:fill="FFFFFF"/>
        </w:rPr>
        <w:t xml:space="preserve">dengan mendorong umat Islam untuk menghindari riba dan memperlakukan debitur dengan belas kasihan. Ayat ini menggarisbawahi pentingnya tidak menambah beban pada debitur serta mendorong perpanjangan masa pembayaran bagi mereka yang menghadapi kesulitan keuangan, selaras dengan ajaran Nabi Muhammad tentang perlakuan adil terhadap debitur. Larangan terhadap riba adalah inti dari keuangan Islam karena </w:t>
      </w:r>
      <w:r w:rsidR="00985C97" w:rsidRPr="00392BCF">
        <w:rPr>
          <w:rFonts w:asciiTheme="majorBidi" w:hAnsiTheme="majorBidi" w:cstheme="majorBidi"/>
          <w:shd w:val="clear" w:color="auto" w:fill="FFFFFF"/>
          <w:lang w:val="id-ID"/>
        </w:rPr>
        <w:t>mendorong</w:t>
      </w:r>
      <w:r w:rsidRPr="00392BCF">
        <w:rPr>
          <w:rFonts w:asciiTheme="majorBidi" w:hAnsiTheme="majorBidi" w:cstheme="majorBidi"/>
          <w:shd w:val="clear" w:color="auto" w:fill="FFFFFF"/>
        </w:rPr>
        <w:t xml:space="preserve"> keadilan dan mencegah eksploitasi terhadap individu yang rentan secara ekonomi.</w:t>
      </w:r>
      <w:r w:rsidRPr="00392BCF">
        <w:rPr>
          <w:rStyle w:val="FootnoteReference"/>
          <w:rFonts w:asciiTheme="majorBidi" w:hAnsiTheme="majorBidi" w:cstheme="majorBidi"/>
          <w:shd w:val="clear" w:color="auto" w:fill="FFFFFF"/>
        </w:rPr>
        <w:footnoteReference w:id="19"/>
      </w:r>
      <w:r w:rsidR="00985C97" w:rsidRPr="00392BCF">
        <w:rPr>
          <w:rFonts w:asciiTheme="majorBidi" w:hAnsiTheme="majorBidi" w:cstheme="majorBidi"/>
          <w:shd w:val="clear" w:color="auto" w:fill="FFFFFF"/>
        </w:rPr>
        <w:t xml:space="preserve"> Pinjaman </w:t>
      </w:r>
      <w:r w:rsidRPr="00392BCF">
        <w:rPr>
          <w:rFonts w:asciiTheme="majorBidi" w:hAnsiTheme="majorBidi" w:cstheme="majorBidi"/>
          <w:shd w:val="clear" w:color="auto" w:fill="FFFFFF"/>
        </w:rPr>
        <w:t>dalam konteks ini ditandai dengan ketidakhadiran bunga, sehingga debitur tidak terbebani di luar kemampuan mereka.</w:t>
      </w:r>
      <w:r w:rsidRPr="00392BCF">
        <w:rPr>
          <w:rStyle w:val="FootnoteReference"/>
          <w:rFonts w:asciiTheme="majorBidi" w:hAnsiTheme="majorBidi" w:cstheme="majorBidi"/>
          <w:shd w:val="clear" w:color="auto" w:fill="FFFFFF"/>
        </w:rPr>
        <w:footnoteReference w:id="20"/>
      </w:r>
      <w:r w:rsidRPr="00392BCF">
        <w:rPr>
          <w:rFonts w:asciiTheme="majorBidi" w:hAnsiTheme="majorBidi" w:cstheme="majorBidi"/>
          <w:shd w:val="clear" w:color="auto" w:fill="FFFFFF"/>
        </w:rPr>
        <w:t xml:space="preserve"> Selain itu, Al-Quran menganjurkan perpanjangan bagi mereka yang menghadapi kesulitan, mencerminkan pendekatan penuh belas kasihan terhadap pengelolaan utang.</w:t>
      </w:r>
      <w:r w:rsidRPr="00392BCF">
        <w:rPr>
          <w:rStyle w:val="FootnoteReference"/>
          <w:rFonts w:asciiTheme="majorBidi" w:hAnsiTheme="majorBidi" w:cstheme="majorBidi"/>
          <w:shd w:val="clear" w:color="auto" w:fill="FFFFFF"/>
        </w:rPr>
        <w:footnoteReference w:id="21"/>
      </w:r>
      <w:r w:rsidRPr="00392BCF">
        <w:rPr>
          <w:rFonts w:asciiTheme="majorBidi" w:hAnsiTheme="majorBidi" w:cstheme="majorBidi"/>
          <w:b/>
          <w:bCs/>
          <w:shd w:val="clear" w:color="auto" w:fill="FFFFFF"/>
          <w:lang w:val="en-ID"/>
        </w:rPr>
        <w:t xml:space="preserve"> </w:t>
      </w:r>
      <w:r w:rsidRPr="00392BCF">
        <w:rPr>
          <w:rFonts w:asciiTheme="majorBidi" w:hAnsiTheme="majorBidi" w:cstheme="majorBidi"/>
          <w:shd w:val="clear" w:color="auto" w:fill="FFFFFF"/>
        </w:rPr>
        <w:t>Prinsip ini diterapkan dalam praktik nyata, seperti dalam kasus nelayan yang menerima pinjaman tanpa kondisi eksploitasi, menunjukkan kepatuhan terhadap hukum ekonomi syariah.</w:t>
      </w:r>
      <w:r w:rsidRPr="00392BCF">
        <w:rPr>
          <w:rStyle w:val="FootnoteReference"/>
          <w:rFonts w:asciiTheme="majorBidi" w:hAnsiTheme="majorBidi" w:cstheme="majorBidi"/>
          <w:shd w:val="clear" w:color="auto" w:fill="FFFFFF"/>
        </w:rPr>
        <w:footnoteReference w:id="22"/>
      </w:r>
      <w:r w:rsidRPr="00392BCF">
        <w:rPr>
          <w:rFonts w:asciiTheme="majorBidi" w:hAnsiTheme="majorBidi" w:cstheme="majorBidi"/>
          <w:shd w:val="clear" w:color="auto" w:fill="FFFFFF"/>
        </w:rPr>
        <w:t xml:space="preserve"> </w:t>
      </w:r>
      <w:r w:rsidR="00985C97" w:rsidRPr="00392BCF">
        <w:rPr>
          <w:rFonts w:asciiTheme="majorBidi" w:hAnsiTheme="majorBidi" w:cstheme="majorBidi"/>
          <w:shd w:val="clear" w:color="auto" w:fill="FFFFFF"/>
          <w:lang w:val="id-ID"/>
        </w:rPr>
        <w:t>K</w:t>
      </w:r>
      <w:r w:rsidRPr="00392BCF">
        <w:rPr>
          <w:rFonts w:asciiTheme="majorBidi" w:hAnsiTheme="majorBidi" w:cstheme="majorBidi"/>
          <w:shd w:val="clear" w:color="auto" w:fill="FFFFFF"/>
        </w:rPr>
        <w:t>ompleksitas keuangan modern menantang penerapan prinsip-prinsip ini secara ketat, memerlukan pemahaman yang mendalam dan bernuansa mengenai riba dalam konteks kontemporer.</w:t>
      </w:r>
      <w:r w:rsidRPr="00392BCF">
        <w:rPr>
          <w:rStyle w:val="FootnoteReference"/>
          <w:rFonts w:asciiTheme="majorBidi" w:hAnsiTheme="majorBidi" w:cstheme="majorBidi"/>
          <w:shd w:val="clear" w:color="auto" w:fill="FFFFFF"/>
        </w:rPr>
        <w:footnoteReference w:id="23"/>
      </w:r>
    </w:p>
    <w:p w14:paraId="142BD47C" w14:textId="565E08FF" w:rsidR="00D162A3" w:rsidRPr="00392BCF" w:rsidRDefault="00FD586F" w:rsidP="00773BDE">
      <w:pPr>
        <w:widowControl w:val="0"/>
        <w:spacing w:after="120" w:line="240" w:lineRule="auto"/>
        <w:ind w:firstLine="709"/>
        <w:jc w:val="both"/>
        <w:rPr>
          <w:rFonts w:asciiTheme="majorBidi" w:hAnsiTheme="majorBidi" w:cstheme="majorBidi"/>
        </w:rPr>
      </w:pPr>
      <w:r w:rsidRPr="00392BCF">
        <w:rPr>
          <w:rFonts w:asciiTheme="majorBidi" w:hAnsiTheme="majorBidi" w:cstheme="majorBidi"/>
        </w:rPr>
        <w:lastRenderedPageBreak/>
        <w:t>Rasulullah saw memberi peringatan kepada orang yang berhutang agar segera melunasinya sebagaimana</w:t>
      </w:r>
      <w:r w:rsidR="00773BDE">
        <w:rPr>
          <w:rFonts w:asciiTheme="majorBidi" w:hAnsiTheme="majorBidi" w:cstheme="majorBidi"/>
          <w:lang w:val="id-ID"/>
        </w:rPr>
        <w:t>.</w:t>
      </w:r>
      <w:r w:rsidRPr="00392BCF">
        <w:rPr>
          <w:rFonts w:asciiTheme="majorBidi" w:hAnsiTheme="majorBidi" w:cstheme="majorBidi"/>
        </w:rPr>
        <w:t xml:space="preserve"> </w:t>
      </w:r>
      <w:r w:rsidR="00B523EB" w:rsidRPr="00392BCF">
        <w:rPr>
          <w:rFonts w:asciiTheme="majorBidi" w:hAnsiTheme="majorBidi" w:cstheme="majorBidi"/>
          <w:shd w:val="clear" w:color="auto" w:fill="FFFFFF"/>
          <w:lang w:val="id-ID"/>
        </w:rPr>
        <w:t>Panduan ini menggarisbawahi prinsip-prinsip Islam tentang keadilan, kasih sayang, dan tanggung jawab keuangan, yang bertujuan untuk menjaga keseimbangan ekonomi dan kesejahteraan sosial dalam Masyarakat.</w:t>
      </w:r>
      <w:r w:rsidR="00447E4E">
        <w:rPr>
          <w:rStyle w:val="FootnoteReference"/>
          <w:rFonts w:asciiTheme="majorBidi" w:hAnsiTheme="majorBidi"/>
          <w:shd w:val="clear" w:color="auto" w:fill="FFFFFF"/>
          <w:lang w:val="id-ID"/>
        </w:rPr>
        <w:footnoteReference w:id="24"/>
      </w:r>
      <w:r w:rsidR="00B523EB" w:rsidRPr="00392BCF">
        <w:rPr>
          <w:rFonts w:asciiTheme="majorBidi" w:hAnsiTheme="majorBidi" w:cstheme="majorBidi"/>
          <w:shd w:val="clear" w:color="auto" w:fill="FFFFFF"/>
          <w:lang w:val="id-ID"/>
        </w:rPr>
        <w:t xml:space="preserve"> </w:t>
      </w:r>
      <w:r w:rsidR="00B523EB" w:rsidRPr="00392BCF">
        <w:rPr>
          <w:rFonts w:asciiTheme="majorBidi" w:hAnsiTheme="majorBidi" w:cstheme="majorBidi"/>
          <w:shd w:val="clear" w:color="auto" w:fill="FFFFFF"/>
        </w:rPr>
        <w:t xml:space="preserve">Hikmat Allah dalam mengatur transaksi utang dalam Al-Quran berfungsi sebagai kompas moral </w:t>
      </w:r>
      <w:r w:rsidR="00985C97" w:rsidRPr="00392BCF">
        <w:rPr>
          <w:rFonts w:asciiTheme="majorBidi" w:hAnsiTheme="majorBidi" w:cstheme="majorBidi"/>
          <w:shd w:val="clear" w:color="auto" w:fill="FFFFFF"/>
          <w:lang w:val="id-ID"/>
        </w:rPr>
        <w:t>dan</w:t>
      </w:r>
      <w:r w:rsidR="00B523EB" w:rsidRPr="00392BCF">
        <w:rPr>
          <w:rFonts w:asciiTheme="majorBidi" w:hAnsiTheme="majorBidi" w:cstheme="majorBidi"/>
          <w:shd w:val="clear" w:color="auto" w:fill="FFFFFF"/>
        </w:rPr>
        <w:t xml:space="preserve"> perilaku etis dalam transaksi keuangan dan menekankan pentingnya memenuhi kewajiban dengan segera dan adil.</w:t>
      </w:r>
      <w:r w:rsidR="00447E4E">
        <w:rPr>
          <w:rStyle w:val="FootnoteReference"/>
          <w:rFonts w:asciiTheme="majorBidi" w:hAnsiTheme="majorBidi"/>
          <w:shd w:val="clear" w:color="auto" w:fill="FFFFFF"/>
        </w:rPr>
        <w:footnoteReference w:id="25"/>
      </w:r>
      <w:r w:rsidR="000B3942" w:rsidRPr="00392BCF">
        <w:rPr>
          <w:rFonts w:asciiTheme="majorBidi" w:hAnsiTheme="majorBidi" w:cstheme="majorBidi"/>
        </w:rPr>
        <w:t xml:space="preserve"> </w:t>
      </w:r>
    </w:p>
    <w:p w14:paraId="2DBCD7B0" w14:textId="70836625" w:rsidR="00E52D77" w:rsidRPr="00392BCF" w:rsidRDefault="00E52D77"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rPr>
        <w:t>Ajaran Islam menekankan pentingnya pembayaran utang tepat waktu sebagai refleksi dari prinsip keadilan, kasih sayang, dan tanggung jawab keuangan. Nabi Muhammad SAW menekankan bahwa penundaan pembayaran utang oleh orang yang mampu adalah bentuk ketidakadilan, sehingga menyoroti kewajiban moral untuk segera memenuhi komitmen keuangan. Prinsip ini mencerminkan ajaran Islam yang menganjurkan keadilan dalam transaksi keuangan, memastikan debitur memenuhi kewajiban mereka demi kesejahteraan sosial.</w:t>
      </w:r>
      <w:r w:rsidRPr="00392BCF">
        <w:rPr>
          <w:rStyle w:val="FootnoteReference"/>
          <w:rFonts w:asciiTheme="majorBidi" w:hAnsiTheme="majorBidi" w:cstheme="majorBidi"/>
        </w:rPr>
        <w:footnoteReference w:id="26"/>
      </w:r>
      <w:r w:rsidRPr="00392BCF">
        <w:rPr>
          <w:rFonts w:asciiTheme="majorBidi" w:hAnsiTheme="majorBidi" w:cstheme="majorBidi"/>
        </w:rPr>
        <w:t xml:space="preserve"> Al-Quran memberikan pedoman etika yang mendukung perilaku keuangan yang bertanggung jawab dan menghindari eksploitasi.</w:t>
      </w:r>
      <w:r w:rsidRPr="00392BCF">
        <w:rPr>
          <w:rStyle w:val="FootnoteReference"/>
          <w:rFonts w:asciiTheme="majorBidi" w:hAnsiTheme="majorBidi" w:cstheme="majorBidi"/>
        </w:rPr>
        <w:footnoteReference w:id="27"/>
      </w:r>
      <w:r w:rsidRPr="00392BCF">
        <w:rPr>
          <w:rFonts w:asciiTheme="majorBidi" w:hAnsiTheme="majorBidi" w:cstheme="majorBidi"/>
        </w:rPr>
        <w:t xml:space="preserve"> Penekanan pada pembayaran utang yang tepat waktu berkontribusi pada stabilitas ekonomi dan keseimbangan keuangan, sementara hukum Islam mendorong dukungan komunitas untuk membantu menyelesaikan utang bagi mereka yang tidak mampu, memperkuat ikatan sosial.</w:t>
      </w:r>
      <w:r w:rsidRPr="00392BCF">
        <w:rPr>
          <w:rStyle w:val="FootnoteReference"/>
          <w:rFonts w:asciiTheme="majorBidi" w:hAnsiTheme="majorBidi" w:cstheme="majorBidi"/>
        </w:rPr>
        <w:footnoteReference w:id="28"/>
      </w:r>
      <w:r w:rsidRPr="00392BCF">
        <w:rPr>
          <w:rFonts w:asciiTheme="majorBidi" w:hAnsiTheme="majorBidi" w:cstheme="majorBidi"/>
        </w:rPr>
        <w:t xml:space="preserve"> Meskipun prinsip-prinsip ini jelas, tantangan dalam memastikan kepatuhan tetap ada, terutama di era modern di mana tekanan keuangan dapat menyebabkan penundaan. Mengatasi tantangan ini memerlukan upaya kolektif untuk memastikan nilai-nilai Islam tetap diterapkan dalam praktik keuangan.</w:t>
      </w:r>
    </w:p>
    <w:p w14:paraId="1BE6EBE4" w14:textId="77777777" w:rsidR="005B6EAC" w:rsidRPr="00392BCF" w:rsidRDefault="005B6EAC" w:rsidP="005875DA">
      <w:pPr>
        <w:widowControl w:val="0"/>
        <w:spacing w:after="120" w:line="240" w:lineRule="auto"/>
        <w:jc w:val="both"/>
        <w:rPr>
          <w:rFonts w:asciiTheme="majorBidi" w:hAnsiTheme="majorBidi" w:cstheme="majorBidi"/>
          <w:shd w:val="clear" w:color="auto" w:fill="FFFFFF"/>
        </w:rPr>
      </w:pPr>
    </w:p>
    <w:p w14:paraId="04F45C8E" w14:textId="2D8F5515" w:rsidR="005B6EAC" w:rsidRPr="00392BCF" w:rsidRDefault="005B6EAC" w:rsidP="005875DA">
      <w:pPr>
        <w:widowControl w:val="0"/>
        <w:spacing w:after="120" w:line="240" w:lineRule="auto"/>
        <w:jc w:val="both"/>
        <w:rPr>
          <w:rFonts w:asciiTheme="majorBidi" w:hAnsiTheme="majorBidi" w:cstheme="majorBidi"/>
          <w:b/>
          <w:bCs/>
          <w:shd w:val="clear" w:color="auto" w:fill="FFFFFF"/>
        </w:rPr>
      </w:pPr>
      <w:r w:rsidRPr="00392BCF">
        <w:rPr>
          <w:rFonts w:asciiTheme="majorBidi" w:hAnsiTheme="majorBidi" w:cstheme="majorBidi"/>
          <w:b/>
          <w:bCs/>
        </w:rPr>
        <w:t>Abu Hayyan</w:t>
      </w:r>
      <w:r w:rsidRPr="00392BCF">
        <w:rPr>
          <w:rFonts w:asciiTheme="majorBidi" w:hAnsiTheme="majorBidi" w:cstheme="majorBidi"/>
          <w:b/>
          <w:bCs/>
          <w:lang w:val="id-ID"/>
        </w:rPr>
        <w:t>:</w:t>
      </w:r>
      <w:r w:rsidRPr="00392BCF">
        <w:rPr>
          <w:rFonts w:asciiTheme="majorBidi" w:hAnsiTheme="majorBidi" w:cstheme="majorBidi"/>
          <w:b/>
          <w:bCs/>
        </w:rPr>
        <w:t xml:space="preserve"> Qirâ'at dalam Penafsiran Ayat tentang Utang Piutang</w:t>
      </w:r>
    </w:p>
    <w:p w14:paraId="13812F1C" w14:textId="6695BEFC" w:rsidR="00B523EB" w:rsidRPr="00392BCF" w:rsidRDefault="00B523EB"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shd w:val="clear" w:color="auto" w:fill="FFFFFF"/>
        </w:rPr>
        <w:t xml:space="preserve">Dalam menafsirkan ayat yang disebutkan, berbagai qirâ'at diuraikan </w:t>
      </w:r>
      <w:r w:rsidRPr="00392BCF">
        <w:rPr>
          <w:rFonts w:asciiTheme="majorBidi" w:hAnsiTheme="majorBidi" w:cstheme="majorBidi"/>
          <w:shd w:val="clear" w:color="auto" w:fill="FFFFFF"/>
        </w:rPr>
        <w:lastRenderedPageBreak/>
        <w:t>oleh p</w:t>
      </w:r>
      <w:r w:rsidR="00FD586F" w:rsidRPr="00392BCF">
        <w:rPr>
          <w:rFonts w:asciiTheme="majorBidi" w:hAnsiTheme="majorBidi" w:cstheme="majorBidi"/>
          <w:shd w:val="clear" w:color="auto" w:fill="FFFFFF"/>
        </w:rPr>
        <w:t>ara ulama yang berbeda. Abu Hay</w:t>
      </w:r>
      <w:r w:rsidR="00FD586F" w:rsidRPr="00392BCF">
        <w:rPr>
          <w:rFonts w:asciiTheme="majorBidi" w:hAnsiTheme="majorBidi" w:cstheme="majorBidi"/>
          <w:shd w:val="clear" w:color="auto" w:fill="FFFFFF"/>
          <w:lang w:val="id-ID"/>
        </w:rPr>
        <w:t>ya</w:t>
      </w:r>
      <w:r w:rsidRPr="00392BCF">
        <w:rPr>
          <w:rFonts w:asciiTheme="majorBidi" w:hAnsiTheme="majorBidi" w:cstheme="majorBidi"/>
          <w:shd w:val="clear" w:color="auto" w:fill="FFFFFF"/>
        </w:rPr>
        <w:t>n membahas empat qiraat, termasuk yang dibacakan oleh Imam Qirâ'at tujuh dan sepuluh, Ubay, Ibnu Mas'ud, Utsman, dan Ibnu 'Abbas, A'masy, dan Aban ibn 'Utsman. Variasi qirâ'at ini memainkan peran penting dalam memahami nuansa dan interpretasi Al-Qur'an, mempengaruhi perspektif hukum dan teologis.</w:t>
      </w:r>
      <w:r w:rsidR="00985C97" w:rsidRPr="00392BCF">
        <w:rPr>
          <w:rStyle w:val="FootnoteReference"/>
          <w:rFonts w:asciiTheme="majorBidi" w:hAnsiTheme="majorBidi"/>
          <w:shd w:val="clear" w:color="auto" w:fill="FFFFFF"/>
        </w:rPr>
        <w:footnoteReference w:id="29"/>
      </w:r>
      <w:r w:rsidRPr="00392BCF">
        <w:rPr>
          <w:rFonts w:asciiTheme="majorBidi" w:hAnsiTheme="majorBidi" w:cstheme="majorBidi"/>
          <w:shd w:val="clear" w:color="auto" w:fill="FFFFFF"/>
        </w:rPr>
        <w:t xml:space="preserve"> Sarjana seperti Abdul Rauf Singkel menekankan pentingnya perbedaan qira'at dalam menafsirkan Kitab Suci, menunjukkan bagaimana variasi ini berdampak pada makna dan pemahaman yang berasal dari teks</w:t>
      </w:r>
      <w:r w:rsidR="00444985" w:rsidRPr="00392BCF">
        <w:rPr>
          <w:rStyle w:val="FootnoteReference"/>
          <w:rFonts w:asciiTheme="majorBidi" w:hAnsiTheme="majorBidi" w:cstheme="majorBidi"/>
          <w:shd w:val="clear" w:color="auto" w:fill="FFFFFF"/>
        </w:rPr>
        <w:footnoteReference w:id="30"/>
      </w:r>
      <w:r w:rsidRPr="00392BCF">
        <w:rPr>
          <w:rFonts w:asciiTheme="majorBidi" w:hAnsiTheme="majorBidi" w:cstheme="majorBidi"/>
          <w:shd w:val="clear" w:color="auto" w:fill="FFFFFF"/>
        </w:rPr>
        <w:t xml:space="preserve"> Selain itu, studi tentang qiyas dalam yurisprudensi Islam menyoroti perdebatan dan diskusi seputar penggunaan penalaran analogis dalam menentukan putusan hukum, menunjukkan beragam metodologi yang digunakan oleh para sarjana dalam menafsirkan teks-teks Islam.</w:t>
      </w:r>
      <w:r w:rsidRPr="00392BCF">
        <w:rPr>
          <w:rStyle w:val="FootnoteReference"/>
          <w:rFonts w:asciiTheme="majorBidi" w:hAnsiTheme="majorBidi" w:cstheme="majorBidi"/>
          <w:shd w:val="clear" w:color="auto" w:fill="FFFFFF"/>
        </w:rPr>
        <w:footnoteReference w:id="31"/>
      </w:r>
    </w:p>
    <w:p w14:paraId="320E387C" w14:textId="1D271DD5" w:rsidR="00444985" w:rsidRPr="00392BCF" w:rsidRDefault="000B3942" w:rsidP="002030FE">
      <w:pPr>
        <w:widowControl w:val="0"/>
        <w:spacing w:after="120" w:line="240" w:lineRule="auto"/>
        <w:ind w:firstLine="709"/>
        <w:jc w:val="both"/>
        <w:rPr>
          <w:rFonts w:asciiTheme="majorBidi" w:hAnsiTheme="majorBidi" w:cstheme="majorBidi"/>
          <w:i/>
          <w:iCs/>
        </w:rPr>
      </w:pPr>
      <w:r w:rsidRPr="00392BCF">
        <w:rPr>
          <w:rFonts w:asciiTheme="majorBidi" w:hAnsiTheme="majorBidi" w:cstheme="majorBidi"/>
          <w:i/>
          <w:iCs/>
        </w:rPr>
        <w:t xml:space="preserve">Qirâ`ât </w:t>
      </w:r>
      <w:r w:rsidRPr="00392BCF">
        <w:rPr>
          <w:rFonts w:asciiTheme="majorBidi" w:hAnsiTheme="majorBidi" w:cstheme="majorBidi"/>
        </w:rPr>
        <w:t xml:space="preserve">pertama adalah </w:t>
      </w:r>
      <w:r w:rsidRPr="00392BCF">
        <w:rPr>
          <w:rFonts w:asciiTheme="majorBidi" w:hAnsiTheme="majorBidi" w:cstheme="majorBidi"/>
          <w:i/>
          <w:iCs/>
        </w:rPr>
        <w:t>qirâ`ât</w:t>
      </w:r>
      <w:r w:rsidRPr="00392BCF">
        <w:rPr>
          <w:rFonts w:asciiTheme="majorBidi" w:hAnsiTheme="majorBidi" w:cstheme="majorBidi"/>
        </w:rPr>
        <w:t xml:space="preserve"> mutawâtirah dan tiga </w:t>
      </w:r>
      <w:r w:rsidRPr="00392BCF">
        <w:rPr>
          <w:rFonts w:asciiTheme="majorBidi" w:hAnsiTheme="majorBidi" w:cstheme="majorBidi"/>
          <w:i/>
          <w:iCs/>
        </w:rPr>
        <w:t>qirâ`ât</w:t>
      </w:r>
      <w:r w:rsidRPr="00392BCF">
        <w:rPr>
          <w:rFonts w:asciiTheme="majorBidi" w:hAnsiTheme="majorBidi" w:cstheme="majorBidi"/>
        </w:rPr>
        <w:t xml:space="preserve"> lainnya merupakan </w:t>
      </w:r>
      <w:r w:rsidRPr="00392BCF">
        <w:rPr>
          <w:rFonts w:asciiTheme="majorBidi" w:hAnsiTheme="majorBidi" w:cstheme="majorBidi"/>
          <w:i/>
          <w:iCs/>
        </w:rPr>
        <w:t>qirâ`ât syâdzdzah</w:t>
      </w:r>
      <w:r w:rsidRPr="00392BCF">
        <w:rPr>
          <w:rFonts w:asciiTheme="majorBidi" w:hAnsiTheme="majorBidi" w:cstheme="majorBidi"/>
        </w:rPr>
        <w:t xml:space="preserve">. Namun demikian Abu </w:t>
      </w:r>
      <w:r w:rsidRPr="00392BCF">
        <w:rPr>
          <w:rFonts w:asciiTheme="majorBidi" w:hAnsiTheme="majorBidi" w:cstheme="majorBidi"/>
          <w:u w:val="single"/>
        </w:rPr>
        <w:t>H</w:t>
      </w:r>
      <w:r w:rsidRPr="00392BCF">
        <w:rPr>
          <w:rFonts w:asciiTheme="majorBidi" w:hAnsiTheme="majorBidi" w:cstheme="majorBidi"/>
        </w:rPr>
        <w:t>ayyân melakukan penelitian terhadap qirâ`ât-qirâ`ât tersebut dengan melakukan analisa dari segi bahasa. Pada qirâ`ât pertama, yakni bacaan (</w:t>
      </w:r>
      <w:r w:rsidRPr="00392BCF">
        <w:rPr>
          <w:rFonts w:asciiTheme="majorBidi" w:hAnsiTheme="majorBidi" w:cstheme="majorBidi"/>
          <w:rtl/>
        </w:rPr>
        <w:t>ذُوْ عُسْرَة</w:t>
      </w:r>
      <w:r w:rsidRPr="00392BCF">
        <w:rPr>
          <w:rFonts w:asciiTheme="majorBidi" w:hAnsiTheme="majorBidi" w:cstheme="majorBidi"/>
        </w:rPr>
        <w:t xml:space="preserve">) </w:t>
      </w:r>
      <w:proofErr w:type="gramStart"/>
      <w:r w:rsidRPr="00392BCF">
        <w:rPr>
          <w:rFonts w:asciiTheme="majorBidi" w:hAnsiTheme="majorBidi" w:cstheme="majorBidi"/>
        </w:rPr>
        <w:t>ia</w:t>
      </w:r>
      <w:proofErr w:type="gramEnd"/>
      <w:r w:rsidRPr="00392BCF">
        <w:rPr>
          <w:rFonts w:asciiTheme="majorBidi" w:hAnsiTheme="majorBidi" w:cstheme="majorBidi"/>
        </w:rPr>
        <w:t xml:space="preserve"> memaparkan pendapat-pendapat ulama ahli nahwu. Menurut Imam Sîbawaih dan Abu ‘Ali,  kata </w:t>
      </w:r>
      <w:r w:rsidRPr="00392BCF">
        <w:rPr>
          <w:rFonts w:asciiTheme="majorBidi" w:hAnsiTheme="majorBidi" w:cstheme="majorBidi"/>
          <w:rtl/>
        </w:rPr>
        <w:t>كَان</w:t>
      </w:r>
      <w:r w:rsidRPr="00392BCF">
        <w:rPr>
          <w:rFonts w:asciiTheme="majorBidi" w:hAnsiTheme="majorBidi" w:cstheme="majorBidi"/>
        </w:rPr>
        <w:t xml:space="preserve"> pada </w:t>
      </w:r>
      <w:r w:rsidRPr="00392BCF">
        <w:rPr>
          <w:rFonts w:asciiTheme="majorBidi" w:hAnsiTheme="majorBidi" w:cstheme="majorBidi"/>
          <w:rtl/>
        </w:rPr>
        <w:t>كَانَ ذَا عُسْرَةٍ</w:t>
      </w:r>
      <w:r w:rsidRPr="00392BCF">
        <w:rPr>
          <w:rFonts w:asciiTheme="majorBidi" w:hAnsiTheme="majorBidi" w:cstheme="majorBidi"/>
        </w:rPr>
        <w:t xml:space="preserve"> tersebut adalah </w:t>
      </w:r>
      <w:r w:rsidRPr="00392BCF">
        <w:rPr>
          <w:rFonts w:asciiTheme="majorBidi" w:hAnsiTheme="majorBidi" w:cstheme="majorBidi"/>
          <w:i/>
          <w:iCs/>
        </w:rPr>
        <w:t>tâm</w:t>
      </w:r>
      <w:r w:rsidRPr="00392BCF">
        <w:rPr>
          <w:rFonts w:asciiTheme="majorBidi" w:hAnsiTheme="majorBidi" w:cstheme="majorBidi"/>
        </w:rPr>
        <w:t>,</w:t>
      </w:r>
      <w:r w:rsidR="00291E8E" w:rsidRPr="00392BCF">
        <w:rPr>
          <w:rFonts w:asciiTheme="majorBidi" w:hAnsiTheme="majorBidi" w:cstheme="majorBidi"/>
        </w:rPr>
        <w:t xml:space="preserve"> </w:t>
      </w:r>
      <w:r w:rsidRPr="00392BCF">
        <w:rPr>
          <w:rFonts w:asciiTheme="majorBidi" w:hAnsiTheme="majorBidi" w:cstheme="majorBidi"/>
        </w:rPr>
        <w:t>sehingga redaksinya (</w:t>
      </w:r>
      <w:r w:rsidRPr="00392BCF">
        <w:rPr>
          <w:rFonts w:asciiTheme="majorBidi" w:hAnsiTheme="majorBidi" w:cstheme="majorBidi"/>
          <w:rtl/>
        </w:rPr>
        <w:t>ان وقع غريم من غرمائكم ذو عسرة</w:t>
      </w:r>
      <w:r w:rsidRPr="00392BCF">
        <w:rPr>
          <w:rFonts w:asciiTheme="majorBidi" w:hAnsiTheme="majorBidi" w:cstheme="majorBidi"/>
        </w:rPr>
        <w:t>) yang artinya, jika orang-orang yang berhutang kepadamu m</w:t>
      </w:r>
      <w:r w:rsidR="00206052" w:rsidRPr="00392BCF">
        <w:rPr>
          <w:rFonts w:asciiTheme="majorBidi" w:hAnsiTheme="majorBidi" w:cstheme="majorBidi"/>
        </w:rPr>
        <w:t>ereka adalah orang-orang susah)</w:t>
      </w:r>
      <w:r w:rsidRPr="00392BCF">
        <w:rPr>
          <w:rFonts w:asciiTheme="majorBidi" w:hAnsiTheme="majorBidi" w:cstheme="majorBidi"/>
        </w:rPr>
        <w:t xml:space="preserve">, menurut ulama Kufah boleh juga </w:t>
      </w:r>
      <w:r w:rsidRPr="00392BCF">
        <w:rPr>
          <w:rFonts w:asciiTheme="majorBidi" w:hAnsiTheme="majorBidi" w:cstheme="majorBidi"/>
          <w:i/>
          <w:iCs/>
        </w:rPr>
        <w:t>nâqis</w:t>
      </w:r>
      <w:r w:rsidRPr="00392BCF">
        <w:rPr>
          <w:rFonts w:asciiTheme="majorBidi" w:hAnsiTheme="majorBidi" w:cstheme="majorBidi"/>
        </w:rPr>
        <w:t xml:space="preserve">  sehingga khabarnya tidak disebut, jika ditampakkan redaksinya menjadi </w:t>
      </w:r>
      <w:r w:rsidRPr="00392BCF">
        <w:rPr>
          <w:rFonts w:asciiTheme="majorBidi" w:hAnsiTheme="majorBidi" w:cstheme="majorBidi"/>
          <w:rtl/>
        </w:rPr>
        <w:t>وان كان من غرمائكم ذو عسرة</w:t>
      </w:r>
      <w:r w:rsidRPr="00392BCF">
        <w:rPr>
          <w:rFonts w:asciiTheme="majorBidi" w:hAnsiTheme="majorBidi" w:cstheme="majorBidi"/>
        </w:rPr>
        <w:t xml:space="preserve"> artinya: “apabila orang-orang yang berhutang kepadamu itu mempunyai kesulitan” atau</w:t>
      </w:r>
      <w:r w:rsidR="00291E8E" w:rsidRPr="00392BCF">
        <w:rPr>
          <w:rFonts w:asciiTheme="majorBidi" w:hAnsiTheme="majorBidi" w:cstheme="majorBidi"/>
        </w:rPr>
        <w:t xml:space="preserve"> </w:t>
      </w:r>
      <w:r w:rsidRPr="00392BCF">
        <w:rPr>
          <w:rFonts w:asciiTheme="majorBidi" w:hAnsiTheme="majorBidi" w:cstheme="majorBidi"/>
        </w:rPr>
        <w:t xml:space="preserve"> </w:t>
      </w:r>
      <w:r w:rsidRPr="00392BCF">
        <w:rPr>
          <w:rFonts w:asciiTheme="majorBidi" w:hAnsiTheme="majorBidi" w:cstheme="majorBidi"/>
          <w:rtl/>
        </w:rPr>
        <w:t xml:space="preserve"> وان كان ذو عسرة لكم عليه حق</w:t>
      </w:r>
      <w:r w:rsidRPr="00392BCF">
        <w:rPr>
          <w:rFonts w:asciiTheme="majorBidi" w:hAnsiTheme="majorBidi" w:cstheme="majorBidi"/>
        </w:rPr>
        <w:t xml:space="preserve"> artinya: “</w:t>
      </w:r>
      <w:r w:rsidRPr="00392BCF">
        <w:rPr>
          <w:rFonts w:asciiTheme="majorBidi" w:hAnsiTheme="majorBidi" w:cstheme="majorBidi"/>
          <w:i/>
          <w:iCs/>
        </w:rPr>
        <w:t>apabila dia dalam kesulitan, hak bagi kamu adalah memberikan pertolongan</w:t>
      </w:r>
      <w:r w:rsidRPr="00392BCF">
        <w:rPr>
          <w:rFonts w:asciiTheme="majorBidi" w:hAnsiTheme="majorBidi" w:cstheme="majorBidi"/>
        </w:rPr>
        <w:t xml:space="preserve">.” Pada dasarnya maksud dari pernyataan di atas </w:t>
      </w:r>
      <w:proofErr w:type="gramStart"/>
      <w:r w:rsidRPr="00392BCF">
        <w:rPr>
          <w:rFonts w:asciiTheme="majorBidi" w:hAnsiTheme="majorBidi" w:cstheme="majorBidi"/>
        </w:rPr>
        <w:t>sama</w:t>
      </w:r>
      <w:proofErr w:type="gramEnd"/>
      <w:r w:rsidRPr="00392BCF">
        <w:rPr>
          <w:rFonts w:asciiTheme="majorBidi" w:hAnsiTheme="majorBidi" w:cstheme="majorBidi"/>
        </w:rPr>
        <w:t>, tetapi pendapat ulama Kufah ini dianggap kurang tepat dari segi gramatika, sebagaimana yang dikemukakan oleh al-Zamakhsyari dan al-Râzi.</w:t>
      </w:r>
      <w:r w:rsidR="00447E4E">
        <w:rPr>
          <w:rStyle w:val="FootnoteReference"/>
          <w:rFonts w:asciiTheme="majorBidi" w:hAnsiTheme="majorBidi"/>
        </w:rPr>
        <w:footnoteReference w:id="32"/>
      </w:r>
      <w:r w:rsidR="00FD586F" w:rsidRPr="00392BCF">
        <w:rPr>
          <w:rStyle w:val="FootnoteReference"/>
          <w:rFonts w:asciiTheme="majorBidi" w:hAnsiTheme="majorBidi" w:cstheme="majorBidi"/>
          <w:shd w:val="clear" w:color="auto" w:fill="FFFFFF"/>
        </w:rPr>
        <w:t xml:space="preserve"> </w:t>
      </w:r>
      <w:r w:rsidRPr="00392BCF">
        <w:rPr>
          <w:rFonts w:asciiTheme="majorBidi" w:hAnsiTheme="majorBidi" w:cstheme="majorBidi"/>
        </w:rPr>
        <w:t xml:space="preserve">Jadi dalam hal ini Abu </w:t>
      </w:r>
      <w:r w:rsidRPr="00392BCF">
        <w:rPr>
          <w:rFonts w:asciiTheme="majorBidi" w:hAnsiTheme="majorBidi" w:cstheme="majorBidi"/>
          <w:u w:val="single"/>
        </w:rPr>
        <w:t>H</w:t>
      </w:r>
      <w:r w:rsidRPr="00392BCF">
        <w:rPr>
          <w:rFonts w:asciiTheme="majorBidi" w:hAnsiTheme="majorBidi" w:cstheme="majorBidi"/>
        </w:rPr>
        <w:t xml:space="preserve">ayyân cenderung </w:t>
      </w:r>
      <w:r w:rsidRPr="00392BCF">
        <w:rPr>
          <w:rFonts w:asciiTheme="majorBidi" w:hAnsiTheme="majorBidi" w:cstheme="majorBidi"/>
        </w:rPr>
        <w:lastRenderedPageBreak/>
        <w:t>pada pendapat Imam Sîbawaih.</w:t>
      </w:r>
      <w:r w:rsidR="002030FE">
        <w:rPr>
          <w:rStyle w:val="FootnoteReference"/>
          <w:rFonts w:asciiTheme="majorBidi" w:hAnsiTheme="majorBidi"/>
        </w:rPr>
        <w:footnoteReference w:id="33"/>
      </w:r>
      <w:r w:rsidRPr="00392BCF">
        <w:rPr>
          <w:rFonts w:asciiTheme="majorBidi" w:hAnsiTheme="majorBidi" w:cstheme="majorBidi"/>
        </w:rPr>
        <w:t xml:space="preserve"> Pada </w:t>
      </w:r>
      <w:r w:rsidRPr="00392BCF">
        <w:rPr>
          <w:rFonts w:asciiTheme="majorBidi" w:hAnsiTheme="majorBidi" w:cstheme="majorBidi"/>
          <w:i/>
          <w:iCs/>
        </w:rPr>
        <w:t>qirâ`ât</w:t>
      </w:r>
      <w:r w:rsidR="00291E8E" w:rsidRPr="00392BCF">
        <w:rPr>
          <w:rFonts w:asciiTheme="majorBidi" w:hAnsiTheme="majorBidi" w:cstheme="majorBidi"/>
        </w:rPr>
        <w:t xml:space="preserve"> kedua </w:t>
      </w:r>
      <w:r w:rsidRPr="00392BCF">
        <w:rPr>
          <w:rFonts w:asciiTheme="majorBidi" w:hAnsiTheme="majorBidi" w:cstheme="majorBidi"/>
        </w:rPr>
        <w:t>(</w:t>
      </w:r>
      <w:r w:rsidRPr="00392BCF">
        <w:rPr>
          <w:rFonts w:asciiTheme="majorBidi" w:hAnsiTheme="majorBidi" w:cstheme="majorBidi"/>
          <w:rtl/>
        </w:rPr>
        <w:t>ذَا عُسْرَةٍ</w:t>
      </w:r>
      <w:r w:rsidRPr="00392BCF">
        <w:rPr>
          <w:rFonts w:asciiTheme="majorBidi" w:hAnsiTheme="majorBidi" w:cstheme="majorBidi"/>
        </w:rPr>
        <w:t xml:space="preserve">) sebagaimana tertulis dalam mushaf Ubay, kedudukan i’rab isimnya </w:t>
      </w:r>
      <w:r w:rsidRPr="00392BCF">
        <w:rPr>
          <w:rFonts w:asciiTheme="majorBidi" w:hAnsiTheme="majorBidi" w:cstheme="majorBidi"/>
          <w:rtl/>
        </w:rPr>
        <w:t>كَان</w:t>
      </w:r>
      <w:r w:rsidRPr="00392BCF">
        <w:rPr>
          <w:rFonts w:asciiTheme="majorBidi" w:hAnsiTheme="majorBidi" w:cstheme="majorBidi"/>
        </w:rPr>
        <w:t xml:space="preserve"> adalah </w:t>
      </w:r>
      <w:r w:rsidRPr="00392BCF">
        <w:rPr>
          <w:rFonts w:asciiTheme="majorBidi" w:hAnsiTheme="majorBidi" w:cstheme="majorBidi"/>
          <w:i/>
          <w:iCs/>
        </w:rPr>
        <w:t>dhamir mustatir</w:t>
      </w:r>
      <w:r w:rsidRPr="00392BCF">
        <w:rPr>
          <w:rFonts w:asciiTheme="majorBidi" w:hAnsiTheme="majorBidi" w:cstheme="majorBidi"/>
        </w:rPr>
        <w:t xml:space="preserve">, yaitu </w:t>
      </w:r>
      <w:r w:rsidRPr="00392BCF">
        <w:rPr>
          <w:rFonts w:asciiTheme="majorBidi" w:hAnsiTheme="majorBidi" w:cstheme="majorBidi"/>
          <w:rtl/>
        </w:rPr>
        <w:t>هُوَ</w:t>
      </w:r>
      <w:r w:rsidRPr="00392BCF">
        <w:rPr>
          <w:rFonts w:asciiTheme="majorBidi" w:hAnsiTheme="majorBidi" w:cstheme="majorBidi"/>
        </w:rPr>
        <w:t>, yang dimaksud adalah orang yang berhutang (</w:t>
      </w:r>
      <w:r w:rsidRPr="00392BCF">
        <w:rPr>
          <w:rFonts w:asciiTheme="majorBidi" w:hAnsiTheme="majorBidi" w:cstheme="majorBidi"/>
          <w:rtl/>
        </w:rPr>
        <w:t>غَرِيْمُ</w:t>
      </w:r>
      <w:r w:rsidRPr="00392BCF">
        <w:rPr>
          <w:rFonts w:asciiTheme="majorBidi" w:hAnsiTheme="majorBidi" w:cstheme="majorBidi"/>
        </w:rPr>
        <w:t xml:space="preserve">). Demikian pula pada </w:t>
      </w:r>
      <w:r w:rsidRPr="00392BCF">
        <w:rPr>
          <w:rFonts w:asciiTheme="majorBidi" w:hAnsiTheme="majorBidi" w:cstheme="majorBidi"/>
          <w:i/>
          <w:iCs/>
        </w:rPr>
        <w:t>qirâ`ât</w:t>
      </w:r>
      <w:r w:rsidRPr="00392BCF">
        <w:rPr>
          <w:rFonts w:asciiTheme="majorBidi" w:hAnsiTheme="majorBidi" w:cstheme="majorBidi"/>
        </w:rPr>
        <w:t xml:space="preserve"> ketiga (</w:t>
      </w:r>
      <w:r w:rsidRPr="00392BCF">
        <w:rPr>
          <w:rFonts w:asciiTheme="majorBidi" w:hAnsiTheme="majorBidi" w:cstheme="majorBidi"/>
          <w:rtl/>
        </w:rPr>
        <w:t>ٍ مُعْسِرًا</w:t>
      </w:r>
      <w:r w:rsidRPr="00392BCF">
        <w:rPr>
          <w:rFonts w:asciiTheme="majorBidi" w:hAnsiTheme="majorBidi" w:cstheme="majorBidi"/>
        </w:rPr>
        <w:t xml:space="preserve">), sebagaimana yang dinukil oleh al-Dâni. Adapun pada </w:t>
      </w:r>
      <w:r w:rsidRPr="00392BCF">
        <w:rPr>
          <w:rFonts w:asciiTheme="majorBidi" w:hAnsiTheme="majorBidi" w:cstheme="majorBidi"/>
          <w:i/>
          <w:iCs/>
        </w:rPr>
        <w:t xml:space="preserve">qirâ`ât </w:t>
      </w:r>
      <w:r w:rsidRPr="00392BCF">
        <w:rPr>
          <w:rFonts w:asciiTheme="majorBidi" w:hAnsiTheme="majorBidi" w:cstheme="majorBidi"/>
        </w:rPr>
        <w:t>keempat (</w:t>
      </w:r>
      <w:r w:rsidRPr="00392BCF">
        <w:rPr>
          <w:rFonts w:asciiTheme="majorBidi" w:hAnsiTheme="majorBidi" w:cstheme="majorBidi"/>
          <w:rtl/>
        </w:rPr>
        <w:t>وَمَنْ كَانَ ذَا عُسْرَةٍ</w:t>
      </w:r>
      <w:r w:rsidRPr="00392BCF">
        <w:rPr>
          <w:rFonts w:asciiTheme="majorBidi" w:hAnsiTheme="majorBidi" w:cstheme="majorBidi"/>
        </w:rPr>
        <w:t xml:space="preserve">) kedudukan ‘irabnya juga sama dengan </w:t>
      </w:r>
      <w:r w:rsidRPr="00392BCF">
        <w:rPr>
          <w:rFonts w:asciiTheme="majorBidi" w:hAnsiTheme="majorBidi" w:cstheme="majorBidi"/>
          <w:i/>
          <w:iCs/>
        </w:rPr>
        <w:t xml:space="preserve">qirâ`ât </w:t>
      </w:r>
      <w:r w:rsidRPr="00392BCF">
        <w:rPr>
          <w:rFonts w:asciiTheme="majorBidi" w:hAnsiTheme="majorBidi" w:cstheme="majorBidi"/>
          <w:rtl/>
        </w:rPr>
        <w:t>ذَا عُسْرَةٍ</w:t>
      </w:r>
      <w:r w:rsidRPr="00392BCF">
        <w:rPr>
          <w:rFonts w:asciiTheme="majorBidi" w:hAnsiTheme="majorBidi" w:cstheme="majorBidi"/>
        </w:rPr>
        <w:t xml:space="preserve"> dan </w:t>
      </w:r>
      <w:r w:rsidRPr="00392BCF">
        <w:rPr>
          <w:rFonts w:asciiTheme="majorBidi" w:hAnsiTheme="majorBidi" w:cstheme="majorBidi"/>
          <w:rtl/>
        </w:rPr>
        <w:t>ٍ مُعْسِرً</w:t>
      </w:r>
      <w:r w:rsidRPr="00392BCF">
        <w:rPr>
          <w:rFonts w:asciiTheme="majorBidi" w:hAnsiTheme="majorBidi" w:cstheme="majorBidi"/>
        </w:rPr>
        <w:t xml:space="preserve">. Pada qirâ`ât yang membaca </w:t>
      </w:r>
      <w:r w:rsidRPr="00392BCF">
        <w:rPr>
          <w:rFonts w:asciiTheme="majorBidi" w:hAnsiTheme="majorBidi" w:cstheme="majorBidi"/>
          <w:i/>
          <w:iCs/>
        </w:rPr>
        <w:t>nasab</w:t>
      </w:r>
      <w:r w:rsidRPr="00392BCF">
        <w:rPr>
          <w:rFonts w:asciiTheme="majorBidi" w:hAnsiTheme="majorBidi" w:cstheme="majorBidi"/>
        </w:rPr>
        <w:t xml:space="preserve">, khitab ayat kepada pelaku riba, yaitu pemilik modal. Adapun pada </w:t>
      </w:r>
      <w:r w:rsidRPr="00392BCF">
        <w:rPr>
          <w:rFonts w:asciiTheme="majorBidi" w:hAnsiTheme="majorBidi" w:cstheme="majorBidi"/>
          <w:i/>
          <w:iCs/>
        </w:rPr>
        <w:t>qirâ`ât</w:t>
      </w:r>
      <w:r w:rsidRPr="00392BCF">
        <w:rPr>
          <w:rFonts w:asciiTheme="majorBidi" w:hAnsiTheme="majorBidi" w:cstheme="majorBidi"/>
        </w:rPr>
        <w:t xml:space="preserve"> yang membaca </w:t>
      </w:r>
      <w:r w:rsidRPr="00392BCF">
        <w:rPr>
          <w:rFonts w:asciiTheme="majorBidi" w:hAnsiTheme="majorBidi" w:cstheme="majorBidi"/>
          <w:i/>
          <w:iCs/>
        </w:rPr>
        <w:t>rafa’</w:t>
      </w:r>
      <w:r w:rsidRPr="00392BCF">
        <w:rPr>
          <w:rFonts w:asciiTheme="majorBidi" w:hAnsiTheme="majorBidi" w:cstheme="majorBidi"/>
        </w:rPr>
        <w:t xml:space="preserve"> ditujukan untuk umum, term</w:t>
      </w:r>
      <w:r w:rsidR="002030FE">
        <w:rPr>
          <w:rFonts w:asciiTheme="majorBidi" w:hAnsiTheme="majorBidi" w:cstheme="majorBidi"/>
        </w:rPr>
        <w:t>asuk orang-orang yang berhutang</w:t>
      </w:r>
      <w:r w:rsidR="002030FE">
        <w:rPr>
          <w:rFonts w:asciiTheme="majorBidi" w:hAnsiTheme="majorBidi" w:cstheme="majorBidi"/>
          <w:lang w:val="id-ID"/>
        </w:rPr>
        <w:t>.</w:t>
      </w:r>
      <w:r w:rsidR="002030FE">
        <w:rPr>
          <w:rStyle w:val="FootnoteReference"/>
          <w:rFonts w:asciiTheme="majorBidi" w:hAnsiTheme="majorBidi"/>
          <w:lang w:val="id-ID"/>
        </w:rPr>
        <w:footnoteReference w:id="34"/>
      </w:r>
      <w:r w:rsidRPr="00392BCF">
        <w:rPr>
          <w:rFonts w:asciiTheme="majorBidi" w:hAnsiTheme="majorBidi" w:cstheme="majorBidi"/>
        </w:rPr>
        <w:t xml:space="preserve"> </w:t>
      </w:r>
    </w:p>
    <w:p w14:paraId="709EA7EF" w14:textId="31DB209F" w:rsidR="002106A7" w:rsidRPr="00392BCF" w:rsidRDefault="000B3942" w:rsidP="002030FE">
      <w:pPr>
        <w:widowControl w:val="0"/>
        <w:spacing w:after="120" w:line="240" w:lineRule="auto"/>
        <w:ind w:firstLine="709"/>
        <w:jc w:val="both"/>
        <w:rPr>
          <w:rFonts w:asciiTheme="majorBidi" w:hAnsiTheme="majorBidi" w:cstheme="majorBidi"/>
        </w:rPr>
      </w:pPr>
      <w:r w:rsidRPr="00392BCF">
        <w:rPr>
          <w:rFonts w:asciiTheme="majorBidi" w:hAnsiTheme="majorBidi" w:cstheme="majorBidi"/>
          <w:i/>
          <w:iCs/>
        </w:rPr>
        <w:t>Kedua,</w:t>
      </w:r>
      <w:r w:rsidRPr="00392BCF">
        <w:rPr>
          <w:rFonts w:asciiTheme="majorBidi" w:hAnsiTheme="majorBidi" w:cstheme="majorBidi"/>
        </w:rPr>
        <w:t xml:space="preserve"> pada lafal </w:t>
      </w:r>
      <w:r w:rsidRPr="00392BCF">
        <w:rPr>
          <w:rFonts w:asciiTheme="majorBidi" w:hAnsiTheme="majorBidi" w:cstheme="majorBidi"/>
          <w:rtl/>
        </w:rPr>
        <w:t>فَنَظِرَةٌ</w:t>
      </w:r>
      <w:r w:rsidRPr="00392BCF">
        <w:rPr>
          <w:rFonts w:asciiTheme="majorBidi" w:hAnsiTheme="majorBidi" w:cstheme="majorBidi"/>
        </w:rPr>
        <w:t xml:space="preserve"> ada beberapa </w:t>
      </w:r>
      <w:r w:rsidRPr="00392BCF">
        <w:rPr>
          <w:rFonts w:asciiTheme="majorBidi" w:hAnsiTheme="majorBidi" w:cstheme="majorBidi"/>
          <w:i/>
          <w:iCs/>
        </w:rPr>
        <w:t>qira`ât</w:t>
      </w:r>
      <w:r w:rsidRPr="00392BCF">
        <w:rPr>
          <w:rFonts w:asciiTheme="majorBidi" w:hAnsiTheme="majorBidi" w:cstheme="majorBidi"/>
        </w:rPr>
        <w:t xml:space="preserve"> yang diangkat Abu </w:t>
      </w:r>
      <w:r w:rsidRPr="00392BCF">
        <w:rPr>
          <w:rFonts w:asciiTheme="majorBidi" w:hAnsiTheme="majorBidi" w:cstheme="majorBidi"/>
          <w:u w:val="single"/>
        </w:rPr>
        <w:t>H</w:t>
      </w:r>
      <w:r w:rsidRPr="00392BCF">
        <w:rPr>
          <w:rFonts w:asciiTheme="majorBidi" w:hAnsiTheme="majorBidi" w:cstheme="majorBidi"/>
        </w:rPr>
        <w:t xml:space="preserve">ayyân yang tidak banyak diungkap oleh al-Zamakhsyari. </w:t>
      </w:r>
      <w:r w:rsidRPr="00392BCF">
        <w:rPr>
          <w:rFonts w:asciiTheme="majorBidi" w:hAnsiTheme="majorBidi" w:cstheme="majorBidi"/>
          <w:i/>
          <w:iCs/>
        </w:rPr>
        <w:t>Qirâ`ât</w:t>
      </w:r>
      <w:r w:rsidRPr="00392BCF">
        <w:rPr>
          <w:rFonts w:asciiTheme="majorBidi" w:hAnsiTheme="majorBidi" w:cstheme="majorBidi"/>
        </w:rPr>
        <w:t xml:space="preserve"> tersebut adalah (1) Imam </w:t>
      </w:r>
      <w:r w:rsidRPr="00392BCF">
        <w:rPr>
          <w:rFonts w:asciiTheme="majorBidi" w:hAnsiTheme="majorBidi" w:cstheme="majorBidi"/>
          <w:i/>
          <w:iCs/>
        </w:rPr>
        <w:t>qirâ`ât</w:t>
      </w:r>
      <w:r w:rsidRPr="00392BCF">
        <w:rPr>
          <w:rFonts w:asciiTheme="majorBidi" w:hAnsiTheme="majorBidi" w:cstheme="majorBidi"/>
        </w:rPr>
        <w:t xml:space="preserve"> tujuh membaca </w:t>
      </w:r>
      <w:r w:rsidRPr="00392BCF">
        <w:rPr>
          <w:rFonts w:asciiTheme="majorBidi" w:hAnsiTheme="majorBidi" w:cstheme="majorBidi"/>
          <w:rtl/>
        </w:rPr>
        <w:t>فَنَظِرَةٌ</w:t>
      </w:r>
      <w:r w:rsidRPr="00392BCF">
        <w:rPr>
          <w:rFonts w:asciiTheme="majorBidi" w:hAnsiTheme="majorBidi" w:cstheme="majorBidi"/>
        </w:rPr>
        <w:t xml:space="preserve"> mengikuti wazan </w:t>
      </w:r>
      <w:r w:rsidRPr="00392BCF">
        <w:rPr>
          <w:rFonts w:asciiTheme="majorBidi" w:hAnsiTheme="majorBidi" w:cstheme="majorBidi"/>
          <w:rtl/>
        </w:rPr>
        <w:t>نَبِقَةٌ</w:t>
      </w:r>
      <w:r w:rsidR="002030FE">
        <w:rPr>
          <w:rFonts w:asciiTheme="majorBidi" w:hAnsiTheme="majorBidi" w:cstheme="majorBidi"/>
          <w:lang w:val="id-ID"/>
        </w:rPr>
        <w:t>;</w:t>
      </w:r>
      <w:r w:rsidRPr="00392BCF">
        <w:rPr>
          <w:rFonts w:asciiTheme="majorBidi" w:hAnsiTheme="majorBidi" w:cstheme="majorBidi"/>
        </w:rPr>
        <w:t xml:space="preserve"> (2) </w:t>
      </w:r>
      <w:r w:rsidRPr="00392BCF">
        <w:rPr>
          <w:rFonts w:asciiTheme="majorBidi" w:hAnsiTheme="majorBidi" w:cstheme="majorBidi"/>
          <w:u w:val="single"/>
        </w:rPr>
        <w:t>H</w:t>
      </w:r>
      <w:r w:rsidRPr="00392BCF">
        <w:rPr>
          <w:rFonts w:asciiTheme="majorBidi" w:hAnsiTheme="majorBidi" w:cstheme="majorBidi"/>
        </w:rPr>
        <w:t xml:space="preserve">asan al-Basri, Mujahid, Abu Raja’ al-Dhahâk membaca </w:t>
      </w:r>
      <w:r w:rsidRPr="00392BCF">
        <w:rPr>
          <w:rFonts w:asciiTheme="majorBidi" w:hAnsiTheme="majorBidi" w:cstheme="majorBidi"/>
          <w:i/>
          <w:iCs/>
        </w:rPr>
        <w:t>fathah nun</w:t>
      </w:r>
      <w:r w:rsidRPr="00392BCF">
        <w:rPr>
          <w:rFonts w:asciiTheme="majorBidi" w:hAnsiTheme="majorBidi" w:cstheme="majorBidi"/>
        </w:rPr>
        <w:t xml:space="preserve"> dan </w:t>
      </w:r>
      <w:r w:rsidRPr="00392BCF">
        <w:rPr>
          <w:rFonts w:asciiTheme="majorBidi" w:hAnsiTheme="majorBidi" w:cstheme="majorBidi"/>
          <w:i/>
          <w:iCs/>
        </w:rPr>
        <w:t>sukun dza’</w:t>
      </w:r>
      <w:r w:rsidRPr="00392BCF">
        <w:rPr>
          <w:rFonts w:asciiTheme="majorBidi" w:hAnsiTheme="majorBidi" w:cstheme="majorBidi"/>
        </w:rPr>
        <w:t xml:space="preserve"> “</w:t>
      </w:r>
      <w:r w:rsidRPr="00392BCF">
        <w:rPr>
          <w:rFonts w:asciiTheme="majorBidi" w:hAnsiTheme="majorBidi" w:cstheme="majorBidi"/>
          <w:i/>
          <w:iCs/>
        </w:rPr>
        <w:t>fa nadzratun</w:t>
      </w:r>
      <w:r w:rsidRPr="00392BCF">
        <w:rPr>
          <w:rFonts w:asciiTheme="majorBidi" w:hAnsiTheme="majorBidi" w:cstheme="majorBidi"/>
        </w:rPr>
        <w:t xml:space="preserve">” </w:t>
      </w:r>
      <w:proofErr w:type="gramStart"/>
      <w:r w:rsidRPr="00392BCF">
        <w:rPr>
          <w:rFonts w:asciiTheme="majorBidi" w:hAnsiTheme="majorBidi" w:cstheme="majorBidi"/>
        </w:rPr>
        <w:t xml:space="preserve">( </w:t>
      </w:r>
      <w:r w:rsidRPr="00392BCF">
        <w:rPr>
          <w:rFonts w:asciiTheme="majorBidi" w:hAnsiTheme="majorBidi" w:cstheme="majorBidi"/>
          <w:rtl/>
        </w:rPr>
        <w:t>فن</w:t>
      </w:r>
      <w:proofErr w:type="gramEnd"/>
      <w:r w:rsidRPr="00392BCF">
        <w:rPr>
          <w:rFonts w:asciiTheme="majorBidi" w:hAnsiTheme="majorBidi" w:cstheme="majorBidi"/>
          <w:rtl/>
        </w:rPr>
        <w:t>َظْْرََةٌ</w:t>
      </w:r>
      <w:r w:rsidRPr="00392BCF">
        <w:rPr>
          <w:rFonts w:asciiTheme="majorBidi" w:hAnsiTheme="majorBidi" w:cstheme="majorBidi"/>
        </w:rPr>
        <w:t xml:space="preserve"> ) sesuai dengan lahjah Bani Tamim, seperti kata </w:t>
      </w:r>
      <w:r w:rsidRPr="00392BCF">
        <w:rPr>
          <w:rFonts w:asciiTheme="majorBidi" w:hAnsiTheme="majorBidi" w:cstheme="majorBidi"/>
          <w:rtl/>
        </w:rPr>
        <w:t>كَبَدٌٌَِ</w:t>
      </w:r>
      <w:r w:rsidRPr="00392BCF">
        <w:rPr>
          <w:rFonts w:asciiTheme="majorBidi" w:hAnsiTheme="majorBidi" w:cstheme="majorBidi"/>
        </w:rPr>
        <w:t xml:space="preserve"> dibaca  </w:t>
      </w:r>
      <w:r w:rsidRPr="00392BCF">
        <w:rPr>
          <w:rFonts w:asciiTheme="majorBidi" w:hAnsiTheme="majorBidi" w:cstheme="majorBidi"/>
          <w:rtl/>
        </w:rPr>
        <w:t>كَبْدٌ</w:t>
      </w:r>
      <w:r w:rsidR="002030FE">
        <w:rPr>
          <w:rFonts w:asciiTheme="majorBidi" w:hAnsiTheme="majorBidi" w:cstheme="majorBidi"/>
          <w:lang w:val="id-ID"/>
        </w:rPr>
        <w:t>;</w:t>
      </w:r>
      <w:r w:rsidR="002030FE">
        <w:rPr>
          <w:rStyle w:val="FootnoteReference"/>
          <w:rFonts w:asciiTheme="majorBidi" w:hAnsiTheme="majorBidi"/>
        </w:rPr>
        <w:footnoteReference w:id="35"/>
      </w:r>
      <w:r w:rsidRPr="00392BCF">
        <w:rPr>
          <w:rFonts w:asciiTheme="majorBidi" w:hAnsiTheme="majorBidi" w:cstheme="majorBidi"/>
        </w:rPr>
        <w:t xml:space="preserve"> (3) ‘Athâ`membaca dengan </w:t>
      </w:r>
      <w:r w:rsidRPr="00392BCF">
        <w:rPr>
          <w:rFonts w:asciiTheme="majorBidi" w:hAnsiTheme="majorBidi" w:cstheme="majorBidi"/>
          <w:i/>
          <w:iCs/>
        </w:rPr>
        <w:t>itsbât alif</w:t>
      </w:r>
      <w:r w:rsidRPr="00392BCF">
        <w:rPr>
          <w:rFonts w:asciiTheme="majorBidi" w:hAnsiTheme="majorBidi" w:cstheme="majorBidi"/>
        </w:rPr>
        <w:t xml:space="preserve"> “</w:t>
      </w:r>
      <w:r w:rsidRPr="00392BCF">
        <w:rPr>
          <w:rFonts w:asciiTheme="majorBidi" w:hAnsiTheme="majorBidi" w:cstheme="majorBidi"/>
          <w:i/>
          <w:iCs/>
        </w:rPr>
        <w:t xml:space="preserve"> fa nâdziratun</w:t>
      </w:r>
      <w:r w:rsidRPr="00392BCF">
        <w:rPr>
          <w:rFonts w:asciiTheme="majorBidi" w:hAnsiTheme="majorBidi" w:cstheme="majorBidi"/>
        </w:rPr>
        <w:t>”(</w:t>
      </w:r>
      <w:r w:rsidRPr="00392BCF">
        <w:rPr>
          <w:rFonts w:asciiTheme="majorBidi" w:hAnsiTheme="majorBidi" w:cstheme="majorBidi"/>
          <w:rtl/>
        </w:rPr>
        <w:t>فَناَظِِرَةٌ</w:t>
      </w:r>
      <w:r w:rsidRPr="00392BCF">
        <w:rPr>
          <w:rFonts w:asciiTheme="majorBidi" w:hAnsiTheme="majorBidi" w:cstheme="majorBidi"/>
        </w:rPr>
        <w:t xml:space="preserve">)  mengikuti wazan </w:t>
      </w:r>
      <w:r w:rsidRPr="00392BCF">
        <w:rPr>
          <w:rFonts w:asciiTheme="majorBidi" w:hAnsiTheme="majorBidi" w:cstheme="majorBidi"/>
          <w:rtl/>
        </w:rPr>
        <w:t>فَاعِلَةٌ</w:t>
      </w:r>
      <w:r w:rsidRPr="00392BCF">
        <w:rPr>
          <w:rFonts w:asciiTheme="majorBidi" w:hAnsiTheme="majorBidi" w:cstheme="majorBidi"/>
        </w:rPr>
        <w:t>. Menurut al-Zajjâj, redaksi ini adalah mashdar</w:t>
      </w:r>
      <w:r w:rsidR="002030FE">
        <w:rPr>
          <w:rFonts w:asciiTheme="majorBidi" w:hAnsiTheme="majorBidi" w:cstheme="majorBidi"/>
          <w:lang w:val="id-ID"/>
        </w:rPr>
        <w:t>;</w:t>
      </w:r>
      <w:r w:rsidRPr="00392BCF">
        <w:rPr>
          <w:rFonts w:asciiTheme="majorBidi" w:hAnsiTheme="majorBidi" w:cstheme="majorBidi"/>
        </w:rPr>
        <w:t xml:space="preserve"> (4) Atha’ ibnu Abi Rabah membaca </w:t>
      </w:r>
      <w:r w:rsidRPr="00392BCF">
        <w:rPr>
          <w:rFonts w:asciiTheme="majorBidi" w:hAnsiTheme="majorBidi" w:cstheme="majorBidi"/>
          <w:i/>
          <w:iCs/>
        </w:rPr>
        <w:t>itsbât alif</w:t>
      </w:r>
      <w:r w:rsidRPr="00392BCF">
        <w:rPr>
          <w:rFonts w:asciiTheme="majorBidi" w:hAnsiTheme="majorBidi" w:cstheme="majorBidi"/>
        </w:rPr>
        <w:t xml:space="preserve"> dan mengganti </w:t>
      </w:r>
      <w:r w:rsidRPr="00392BCF">
        <w:rPr>
          <w:rFonts w:asciiTheme="majorBidi" w:hAnsiTheme="majorBidi" w:cstheme="majorBidi"/>
          <w:i/>
          <w:iCs/>
        </w:rPr>
        <w:t>ta’marbutah</w:t>
      </w:r>
      <w:r w:rsidRPr="00392BCF">
        <w:rPr>
          <w:rFonts w:asciiTheme="majorBidi" w:hAnsiTheme="majorBidi" w:cstheme="majorBidi"/>
        </w:rPr>
        <w:t xml:space="preserve"> dengan </w:t>
      </w:r>
      <w:r w:rsidRPr="00392BCF">
        <w:rPr>
          <w:rFonts w:asciiTheme="majorBidi" w:hAnsiTheme="majorBidi" w:cstheme="majorBidi"/>
          <w:i/>
          <w:iCs/>
        </w:rPr>
        <w:t>ha` dhamir</w:t>
      </w:r>
      <w:r w:rsidRPr="00392BCF">
        <w:rPr>
          <w:rFonts w:asciiTheme="majorBidi" w:hAnsiTheme="majorBidi" w:cstheme="majorBidi"/>
        </w:rPr>
        <w:t xml:space="preserve"> “</w:t>
      </w:r>
      <w:r w:rsidRPr="00392BCF">
        <w:rPr>
          <w:rFonts w:asciiTheme="majorBidi" w:hAnsiTheme="majorBidi" w:cstheme="majorBidi"/>
          <w:i/>
          <w:iCs/>
        </w:rPr>
        <w:t>fa nâdziruhû</w:t>
      </w:r>
      <w:r w:rsidRPr="00392BCF">
        <w:rPr>
          <w:rFonts w:asciiTheme="majorBidi" w:hAnsiTheme="majorBidi" w:cstheme="majorBidi"/>
        </w:rPr>
        <w:t>” (</w:t>
      </w:r>
      <w:r w:rsidRPr="00392BCF">
        <w:rPr>
          <w:rFonts w:asciiTheme="majorBidi" w:hAnsiTheme="majorBidi" w:cstheme="majorBidi"/>
          <w:rtl/>
        </w:rPr>
        <w:t>فَنَاظِرُهُ</w:t>
      </w:r>
      <w:r w:rsidRPr="00392BCF">
        <w:rPr>
          <w:rFonts w:asciiTheme="majorBidi" w:hAnsiTheme="majorBidi" w:cstheme="majorBidi"/>
        </w:rPr>
        <w:t xml:space="preserve">) </w:t>
      </w:r>
      <w:r w:rsidRPr="00392BCF">
        <w:rPr>
          <w:rFonts w:asciiTheme="majorBidi" w:hAnsiTheme="majorBidi" w:cstheme="majorBidi"/>
          <w:i/>
          <w:iCs/>
        </w:rPr>
        <w:t>dhamir ha’</w:t>
      </w:r>
      <w:r w:rsidRPr="00392BCF">
        <w:rPr>
          <w:rFonts w:asciiTheme="majorBidi" w:hAnsiTheme="majorBidi" w:cstheme="majorBidi"/>
        </w:rPr>
        <w:t xml:space="preserve"> kembali kepada </w:t>
      </w:r>
      <w:r w:rsidRPr="00392BCF">
        <w:rPr>
          <w:rFonts w:asciiTheme="majorBidi" w:hAnsiTheme="majorBidi" w:cstheme="majorBidi"/>
          <w:i/>
          <w:iCs/>
        </w:rPr>
        <w:t>gharim</w:t>
      </w:r>
      <w:r w:rsidRPr="00392BCF">
        <w:rPr>
          <w:rFonts w:asciiTheme="majorBidi" w:hAnsiTheme="majorBidi" w:cstheme="majorBidi"/>
        </w:rPr>
        <w:t xml:space="preserve"> (orang yang berhutang). Dengan demikian, qirâ`ât ini mempunyai makna bahwa pemilik modal menunggu sampai orang yang berhutang dalam keadaan lapang se</w:t>
      </w:r>
      <w:r w:rsidR="002030FE">
        <w:rPr>
          <w:rFonts w:asciiTheme="majorBidi" w:hAnsiTheme="majorBidi" w:cstheme="majorBidi"/>
        </w:rPr>
        <w:t>hingga mampu melunasi hutangnya</w:t>
      </w:r>
      <w:r w:rsidR="002030FE">
        <w:rPr>
          <w:rFonts w:asciiTheme="majorBidi" w:hAnsiTheme="majorBidi" w:cstheme="majorBidi"/>
          <w:lang w:val="id-ID"/>
        </w:rPr>
        <w:t>;</w:t>
      </w:r>
      <w:r w:rsidR="002030FE">
        <w:rPr>
          <w:rStyle w:val="FootnoteReference"/>
          <w:rFonts w:asciiTheme="majorBidi" w:hAnsiTheme="majorBidi"/>
          <w:lang w:val="id-ID"/>
        </w:rPr>
        <w:footnoteReference w:id="36"/>
      </w:r>
      <w:r w:rsidRPr="00392BCF">
        <w:rPr>
          <w:rFonts w:asciiTheme="majorBidi" w:hAnsiTheme="majorBidi" w:cstheme="majorBidi"/>
        </w:rPr>
        <w:t xml:space="preserve"> (5) Atha’, dan Mujahid membaca dengan shighat </w:t>
      </w:r>
      <w:r w:rsidRPr="00392BCF">
        <w:rPr>
          <w:rFonts w:asciiTheme="majorBidi" w:hAnsiTheme="majorBidi" w:cstheme="majorBidi"/>
          <w:i/>
          <w:iCs/>
        </w:rPr>
        <w:t xml:space="preserve">amar </w:t>
      </w:r>
      <w:r w:rsidRPr="00392BCF">
        <w:rPr>
          <w:rFonts w:asciiTheme="majorBidi" w:hAnsiTheme="majorBidi" w:cstheme="majorBidi"/>
        </w:rPr>
        <w:t>“</w:t>
      </w:r>
      <w:r w:rsidRPr="00392BCF">
        <w:rPr>
          <w:rFonts w:asciiTheme="majorBidi" w:hAnsiTheme="majorBidi" w:cstheme="majorBidi"/>
          <w:i/>
          <w:iCs/>
        </w:rPr>
        <w:t>fa nâdzirhu</w:t>
      </w:r>
      <w:r w:rsidRPr="00392BCF">
        <w:rPr>
          <w:rFonts w:asciiTheme="majorBidi" w:hAnsiTheme="majorBidi" w:cstheme="majorBidi"/>
        </w:rPr>
        <w:t>” (</w:t>
      </w:r>
      <w:r w:rsidRPr="00392BCF">
        <w:rPr>
          <w:rFonts w:asciiTheme="majorBidi" w:hAnsiTheme="majorBidi" w:cstheme="majorBidi"/>
          <w:rtl/>
        </w:rPr>
        <w:t>فَنَاظِرْهُ</w:t>
      </w:r>
      <w:r w:rsidRPr="00392BCF">
        <w:rPr>
          <w:rFonts w:asciiTheme="majorBidi" w:hAnsiTheme="majorBidi" w:cstheme="majorBidi"/>
        </w:rPr>
        <w:t>). Kata ini ditujukan kepada pemilik modal yang artinya “tunggulah dia (orang yang berhutang) sampai mereka dalam keadaan lapang dan mampu melunasi hutangnya”.</w:t>
      </w:r>
      <w:r w:rsidR="002030FE">
        <w:rPr>
          <w:rStyle w:val="FootnoteReference"/>
          <w:rFonts w:asciiTheme="majorBidi" w:hAnsiTheme="majorBidi"/>
        </w:rPr>
        <w:footnoteReference w:id="37"/>
      </w:r>
      <w:r w:rsidRPr="00392BCF">
        <w:rPr>
          <w:rFonts w:asciiTheme="majorBidi" w:hAnsiTheme="majorBidi" w:cstheme="majorBidi"/>
        </w:rPr>
        <w:t xml:space="preserve"> (6) Abdullah Ibnu Mas’ud membaca “</w:t>
      </w:r>
      <w:r w:rsidRPr="00392BCF">
        <w:rPr>
          <w:rFonts w:asciiTheme="majorBidi" w:hAnsiTheme="majorBidi" w:cstheme="majorBidi"/>
          <w:i/>
          <w:iCs/>
        </w:rPr>
        <w:t>fa nâdzirûhu</w:t>
      </w:r>
      <w:r w:rsidRPr="00392BCF">
        <w:rPr>
          <w:rFonts w:asciiTheme="majorBidi" w:hAnsiTheme="majorBidi" w:cstheme="majorBidi"/>
        </w:rPr>
        <w:t>” (</w:t>
      </w:r>
      <w:r w:rsidRPr="00392BCF">
        <w:rPr>
          <w:rFonts w:asciiTheme="majorBidi" w:hAnsiTheme="majorBidi" w:cstheme="majorBidi"/>
          <w:rtl/>
        </w:rPr>
        <w:t>فَنَاظِرُوْه</w:t>
      </w:r>
      <w:proofErr w:type="gramStart"/>
      <w:r w:rsidRPr="00392BCF">
        <w:rPr>
          <w:rFonts w:asciiTheme="majorBidi" w:hAnsiTheme="majorBidi" w:cstheme="majorBidi"/>
          <w:rtl/>
        </w:rPr>
        <w:t>ُ</w:t>
      </w:r>
      <w:r w:rsidRPr="00392BCF">
        <w:rPr>
          <w:rFonts w:asciiTheme="majorBidi" w:hAnsiTheme="majorBidi" w:cstheme="majorBidi"/>
        </w:rPr>
        <w:t xml:space="preserve"> )</w:t>
      </w:r>
      <w:proofErr w:type="gramEnd"/>
      <w:r w:rsidRPr="00392BCF">
        <w:rPr>
          <w:rFonts w:asciiTheme="majorBidi" w:hAnsiTheme="majorBidi" w:cstheme="majorBidi"/>
        </w:rPr>
        <w:t xml:space="preserve"> dengan </w:t>
      </w:r>
      <w:r w:rsidRPr="00392BCF">
        <w:rPr>
          <w:rFonts w:asciiTheme="majorBidi" w:hAnsiTheme="majorBidi" w:cstheme="majorBidi"/>
          <w:i/>
          <w:iCs/>
        </w:rPr>
        <w:t>sighat fi’il Amar</w:t>
      </w:r>
      <w:r w:rsidRPr="00392BCF">
        <w:rPr>
          <w:rFonts w:asciiTheme="majorBidi" w:hAnsiTheme="majorBidi" w:cstheme="majorBidi"/>
        </w:rPr>
        <w:t xml:space="preserve"> yang menunjukkan jama’ sehingga mempunyai makna “maka tunggulah dia”. Kata ini juga ditujukan kepada mereka yang berpiutang.</w:t>
      </w:r>
      <w:r w:rsidR="002030FE">
        <w:rPr>
          <w:rStyle w:val="FootnoteReference"/>
          <w:rFonts w:asciiTheme="majorBidi" w:hAnsiTheme="majorBidi"/>
        </w:rPr>
        <w:footnoteReference w:id="38"/>
      </w:r>
      <w:r w:rsidRPr="00392BCF">
        <w:rPr>
          <w:rFonts w:asciiTheme="majorBidi" w:hAnsiTheme="majorBidi" w:cstheme="majorBidi"/>
        </w:rPr>
        <w:t xml:space="preserve"> </w:t>
      </w:r>
    </w:p>
    <w:p w14:paraId="5D0424A3" w14:textId="09025A43" w:rsidR="005A13B4" w:rsidRPr="00392BCF" w:rsidRDefault="000B3942" w:rsidP="00073A06">
      <w:pPr>
        <w:widowControl w:val="0"/>
        <w:spacing w:after="120" w:line="240" w:lineRule="auto"/>
        <w:ind w:firstLine="709"/>
        <w:jc w:val="both"/>
        <w:rPr>
          <w:rFonts w:asciiTheme="majorBidi" w:hAnsiTheme="majorBidi" w:cstheme="majorBidi"/>
        </w:rPr>
      </w:pPr>
      <w:r w:rsidRPr="00392BCF">
        <w:rPr>
          <w:rFonts w:asciiTheme="majorBidi" w:hAnsiTheme="majorBidi" w:cstheme="majorBidi"/>
        </w:rPr>
        <w:tab/>
        <w:t xml:space="preserve">Dengan demikian ada enam </w:t>
      </w:r>
      <w:r w:rsidRPr="00392BCF">
        <w:rPr>
          <w:rFonts w:asciiTheme="majorBidi" w:hAnsiTheme="majorBidi" w:cstheme="majorBidi"/>
          <w:i/>
          <w:iCs/>
        </w:rPr>
        <w:t xml:space="preserve">qirâ`ât </w:t>
      </w:r>
      <w:r w:rsidRPr="00392BCF">
        <w:rPr>
          <w:rFonts w:asciiTheme="majorBidi" w:hAnsiTheme="majorBidi" w:cstheme="majorBidi"/>
        </w:rPr>
        <w:t xml:space="preserve">yang dipaparkan Abu </w:t>
      </w:r>
      <w:r w:rsidRPr="00392BCF">
        <w:rPr>
          <w:rFonts w:asciiTheme="majorBidi" w:hAnsiTheme="majorBidi" w:cstheme="majorBidi"/>
          <w:u w:val="single"/>
        </w:rPr>
        <w:t>H</w:t>
      </w:r>
      <w:r w:rsidRPr="00392BCF">
        <w:rPr>
          <w:rFonts w:asciiTheme="majorBidi" w:hAnsiTheme="majorBidi" w:cstheme="majorBidi"/>
        </w:rPr>
        <w:t xml:space="preserve">ayyân dalam tafsirnya. Keenam redaksi pada </w:t>
      </w:r>
      <w:r w:rsidRPr="00392BCF">
        <w:rPr>
          <w:rFonts w:asciiTheme="majorBidi" w:hAnsiTheme="majorBidi" w:cstheme="majorBidi"/>
          <w:i/>
          <w:iCs/>
        </w:rPr>
        <w:t>qirâ`at</w:t>
      </w:r>
      <w:r w:rsidRPr="00392BCF">
        <w:rPr>
          <w:rFonts w:asciiTheme="majorBidi" w:hAnsiTheme="majorBidi" w:cstheme="majorBidi"/>
        </w:rPr>
        <w:t xml:space="preserve"> tersebut adalah menggunakan </w:t>
      </w:r>
      <w:r w:rsidRPr="00392BCF">
        <w:rPr>
          <w:rFonts w:asciiTheme="majorBidi" w:hAnsiTheme="majorBidi" w:cstheme="majorBidi"/>
        </w:rPr>
        <w:lastRenderedPageBreak/>
        <w:t xml:space="preserve">bentuk </w:t>
      </w:r>
      <w:r w:rsidRPr="00392BCF">
        <w:rPr>
          <w:rFonts w:asciiTheme="majorBidi" w:hAnsiTheme="majorBidi" w:cstheme="majorBidi"/>
          <w:i/>
          <w:iCs/>
        </w:rPr>
        <w:t>mashdar</w:t>
      </w:r>
      <w:r w:rsidRPr="00392BCF">
        <w:rPr>
          <w:rFonts w:asciiTheme="majorBidi" w:hAnsiTheme="majorBidi" w:cstheme="majorBidi"/>
        </w:rPr>
        <w:t xml:space="preserve"> dan </w:t>
      </w:r>
      <w:r w:rsidRPr="00392BCF">
        <w:rPr>
          <w:rFonts w:asciiTheme="majorBidi" w:hAnsiTheme="majorBidi" w:cstheme="majorBidi"/>
          <w:i/>
          <w:iCs/>
        </w:rPr>
        <w:t>amr</w:t>
      </w:r>
      <w:r w:rsidRPr="00392BCF">
        <w:rPr>
          <w:rFonts w:asciiTheme="majorBidi" w:hAnsiTheme="majorBidi" w:cstheme="majorBidi"/>
        </w:rPr>
        <w:t xml:space="preserve"> (perintah).</w:t>
      </w:r>
      <w:r w:rsidR="00073A06">
        <w:rPr>
          <w:rStyle w:val="FootnoteReference"/>
          <w:rFonts w:asciiTheme="majorBidi" w:hAnsiTheme="majorBidi"/>
        </w:rPr>
        <w:footnoteReference w:id="39"/>
      </w:r>
      <w:r w:rsidRPr="00392BCF">
        <w:rPr>
          <w:rFonts w:asciiTheme="majorBidi" w:hAnsiTheme="majorBidi" w:cstheme="majorBidi"/>
        </w:rPr>
        <w:t xml:space="preserve"> Bagi yang menggunakan bentuk </w:t>
      </w:r>
      <w:r w:rsidRPr="00392BCF">
        <w:rPr>
          <w:rFonts w:asciiTheme="majorBidi" w:hAnsiTheme="majorBidi" w:cstheme="majorBidi"/>
          <w:i/>
          <w:iCs/>
        </w:rPr>
        <w:t>mashdar</w:t>
      </w:r>
      <w:r w:rsidRPr="00392BCF">
        <w:rPr>
          <w:rFonts w:asciiTheme="majorBidi" w:hAnsiTheme="majorBidi" w:cstheme="majorBidi"/>
        </w:rPr>
        <w:t xml:space="preserve">, kedudukannya sebagai </w:t>
      </w:r>
      <w:r w:rsidRPr="00392BCF">
        <w:rPr>
          <w:rFonts w:asciiTheme="majorBidi" w:hAnsiTheme="majorBidi" w:cstheme="majorBidi"/>
          <w:i/>
          <w:iCs/>
        </w:rPr>
        <w:t>mubtada</w:t>
      </w:r>
      <w:r w:rsidRPr="00392BCF">
        <w:rPr>
          <w:rFonts w:asciiTheme="majorBidi" w:hAnsiTheme="majorBidi" w:cstheme="majorBidi"/>
        </w:rPr>
        <w:t xml:space="preserve">` dari </w:t>
      </w:r>
      <w:r w:rsidRPr="00392BCF">
        <w:rPr>
          <w:rFonts w:asciiTheme="majorBidi" w:hAnsiTheme="majorBidi" w:cstheme="majorBidi"/>
          <w:i/>
          <w:iCs/>
        </w:rPr>
        <w:t>khabar</w:t>
      </w:r>
      <w:r w:rsidRPr="00392BCF">
        <w:rPr>
          <w:rFonts w:asciiTheme="majorBidi" w:hAnsiTheme="majorBidi" w:cstheme="majorBidi"/>
        </w:rPr>
        <w:t xml:space="preserve"> yang </w:t>
      </w:r>
      <w:r w:rsidRPr="00392BCF">
        <w:rPr>
          <w:rFonts w:asciiTheme="majorBidi" w:hAnsiTheme="majorBidi" w:cstheme="majorBidi"/>
          <w:i/>
          <w:iCs/>
        </w:rPr>
        <w:t>mahdzûf</w:t>
      </w:r>
      <w:r w:rsidRPr="00392BCF">
        <w:rPr>
          <w:rFonts w:asciiTheme="majorBidi" w:hAnsiTheme="majorBidi" w:cstheme="majorBidi"/>
        </w:rPr>
        <w:t>, sehingga bunyi kalimatnya yaitu (</w:t>
      </w:r>
      <w:r w:rsidRPr="00392BCF">
        <w:rPr>
          <w:rFonts w:asciiTheme="majorBidi" w:hAnsiTheme="majorBidi" w:cstheme="majorBidi"/>
          <w:rtl/>
        </w:rPr>
        <w:t>والواجب على صاحب الدين نظرة منه لطلب الدين من المدين الى ميسرة منه</w:t>
      </w:r>
      <w:r w:rsidR="00696179" w:rsidRPr="00392BCF">
        <w:rPr>
          <w:rFonts w:asciiTheme="majorBidi" w:hAnsiTheme="majorBidi" w:cstheme="majorBidi"/>
        </w:rPr>
        <w:t xml:space="preserve">) </w:t>
      </w:r>
      <w:r w:rsidRPr="00392BCF">
        <w:rPr>
          <w:rFonts w:asciiTheme="majorBidi" w:hAnsiTheme="majorBidi" w:cstheme="majorBidi"/>
        </w:rPr>
        <w:t>yang artinya: “</w:t>
      </w:r>
      <w:r w:rsidRPr="00392BCF">
        <w:rPr>
          <w:rFonts w:asciiTheme="majorBidi" w:hAnsiTheme="majorBidi" w:cstheme="majorBidi"/>
          <w:i/>
          <w:iCs/>
        </w:rPr>
        <w:t>kewajiban pemilik modal adalah menunggu atau memberikan tenggang waktu untuk menagih hutang kepada yang berhutang sampai mereka mampu</w:t>
      </w:r>
      <w:r w:rsidRPr="00392BCF">
        <w:rPr>
          <w:rFonts w:asciiTheme="majorBidi" w:hAnsiTheme="majorBidi" w:cstheme="majorBidi"/>
        </w:rPr>
        <w:t>.”</w:t>
      </w:r>
      <w:r w:rsidR="00073A06">
        <w:rPr>
          <w:rStyle w:val="FootnoteReference"/>
          <w:rFonts w:asciiTheme="majorBidi" w:hAnsiTheme="majorBidi"/>
        </w:rPr>
        <w:footnoteReference w:id="40"/>
      </w:r>
      <w:r w:rsidR="00E731E7" w:rsidRPr="00392BCF">
        <w:rPr>
          <w:rFonts w:asciiTheme="majorBidi" w:hAnsiTheme="majorBidi" w:cstheme="majorBidi"/>
          <w:lang w:val="id-ID"/>
        </w:rPr>
        <w:t xml:space="preserve"> </w:t>
      </w:r>
    </w:p>
    <w:p w14:paraId="3FA3714C" w14:textId="5A5B6A24" w:rsidR="00E731E7" w:rsidRPr="00392BCF" w:rsidRDefault="000B3942" w:rsidP="005875DA">
      <w:pPr>
        <w:widowControl w:val="0"/>
        <w:spacing w:after="120" w:line="240" w:lineRule="auto"/>
        <w:ind w:firstLine="709"/>
        <w:jc w:val="both"/>
        <w:rPr>
          <w:rFonts w:asciiTheme="majorBidi" w:hAnsiTheme="majorBidi" w:cstheme="majorBidi"/>
          <w:lang w:val="id-ID"/>
        </w:rPr>
      </w:pPr>
      <w:r w:rsidRPr="00392BCF">
        <w:rPr>
          <w:rFonts w:asciiTheme="majorBidi" w:hAnsiTheme="majorBidi" w:cstheme="majorBidi"/>
          <w:i/>
          <w:iCs/>
        </w:rPr>
        <w:t>Ketiga,</w:t>
      </w:r>
      <w:r w:rsidRPr="00392BCF">
        <w:rPr>
          <w:rFonts w:asciiTheme="majorBidi" w:hAnsiTheme="majorBidi" w:cstheme="majorBidi"/>
        </w:rPr>
        <w:t xml:space="preserve"> pada lafal </w:t>
      </w:r>
      <w:r w:rsidRPr="00392BCF">
        <w:rPr>
          <w:rFonts w:asciiTheme="majorBidi" w:hAnsiTheme="majorBidi" w:cstheme="majorBidi"/>
          <w:rtl/>
        </w:rPr>
        <w:t>اِلَى مَيْسَرَةٍ</w:t>
      </w:r>
      <w:r w:rsidRPr="00392BCF">
        <w:rPr>
          <w:rFonts w:asciiTheme="majorBidi" w:hAnsiTheme="majorBidi" w:cstheme="majorBidi"/>
        </w:rPr>
        <w:t xml:space="preserve"> ada lima qirâ`ât yang diangkat, yaitu: (1) Nâfi’ membaca dengan </w:t>
      </w:r>
      <w:r w:rsidRPr="00392BCF">
        <w:rPr>
          <w:rFonts w:asciiTheme="majorBidi" w:hAnsiTheme="majorBidi" w:cstheme="majorBidi"/>
          <w:i/>
          <w:iCs/>
        </w:rPr>
        <w:t>dhammah sîn</w:t>
      </w:r>
      <w:r w:rsidRPr="00392BCF">
        <w:rPr>
          <w:rFonts w:asciiTheme="majorBidi" w:hAnsiTheme="majorBidi" w:cstheme="majorBidi"/>
        </w:rPr>
        <w:t xml:space="preserve"> “</w:t>
      </w:r>
      <w:r w:rsidRPr="00392BCF">
        <w:rPr>
          <w:rFonts w:asciiTheme="majorBidi" w:hAnsiTheme="majorBidi" w:cstheme="majorBidi"/>
          <w:i/>
          <w:iCs/>
        </w:rPr>
        <w:t>maisurah</w:t>
      </w:r>
      <w:proofErr w:type="gramStart"/>
      <w:r w:rsidRPr="00392BCF">
        <w:rPr>
          <w:rFonts w:asciiTheme="majorBidi" w:hAnsiTheme="majorBidi" w:cstheme="majorBidi"/>
        </w:rPr>
        <w:t>”  (</w:t>
      </w:r>
      <w:proofErr w:type="gramEnd"/>
      <w:r w:rsidRPr="00392BCF">
        <w:rPr>
          <w:rFonts w:asciiTheme="majorBidi" w:hAnsiTheme="majorBidi" w:cstheme="majorBidi"/>
          <w:rtl/>
        </w:rPr>
        <w:t>مَيْسُرَة</w:t>
      </w:r>
      <w:r w:rsidRPr="00392BCF">
        <w:rPr>
          <w:rFonts w:asciiTheme="majorBidi" w:hAnsiTheme="majorBidi" w:cstheme="majorBidi"/>
        </w:rPr>
        <w:t xml:space="preserve"> ) mengikuti lughah </w:t>
      </w:r>
      <w:r w:rsidRPr="00392BCF">
        <w:rPr>
          <w:rFonts w:asciiTheme="majorBidi" w:hAnsiTheme="majorBidi" w:cstheme="majorBidi"/>
          <w:u w:val="single"/>
        </w:rPr>
        <w:t>H</w:t>
      </w:r>
      <w:r w:rsidRPr="00392BCF">
        <w:rPr>
          <w:rFonts w:asciiTheme="majorBidi" w:hAnsiTheme="majorBidi" w:cstheme="majorBidi"/>
        </w:rPr>
        <w:t>ijaz</w:t>
      </w:r>
      <w:r w:rsidR="00E731E7" w:rsidRPr="00392BCF">
        <w:rPr>
          <w:rFonts w:asciiTheme="majorBidi" w:hAnsiTheme="majorBidi" w:cstheme="majorBidi"/>
          <w:lang w:val="id-ID"/>
        </w:rPr>
        <w:t>.</w:t>
      </w:r>
      <w:r w:rsidRPr="00392BCF">
        <w:rPr>
          <w:rFonts w:asciiTheme="majorBidi" w:hAnsiTheme="majorBidi" w:cstheme="majorBidi"/>
        </w:rPr>
        <w:t xml:space="preserve"> (2) Imam </w:t>
      </w:r>
      <w:proofErr w:type="gramStart"/>
      <w:r w:rsidRPr="00392BCF">
        <w:rPr>
          <w:rFonts w:asciiTheme="majorBidi" w:hAnsiTheme="majorBidi" w:cstheme="majorBidi"/>
          <w:i/>
          <w:iCs/>
        </w:rPr>
        <w:t>qirâ`</w:t>
      </w:r>
      <w:proofErr w:type="gramEnd"/>
      <w:r w:rsidRPr="00392BCF">
        <w:rPr>
          <w:rFonts w:asciiTheme="majorBidi" w:hAnsiTheme="majorBidi" w:cstheme="majorBidi"/>
          <w:i/>
          <w:iCs/>
        </w:rPr>
        <w:t xml:space="preserve">ât </w:t>
      </w:r>
      <w:r w:rsidRPr="00392BCF">
        <w:rPr>
          <w:rFonts w:asciiTheme="majorBidi" w:hAnsiTheme="majorBidi" w:cstheme="majorBidi"/>
        </w:rPr>
        <w:t xml:space="preserve">tujuh lainnya membaca </w:t>
      </w:r>
      <w:r w:rsidRPr="00392BCF">
        <w:rPr>
          <w:rFonts w:asciiTheme="majorBidi" w:hAnsiTheme="majorBidi" w:cstheme="majorBidi"/>
          <w:i/>
          <w:iCs/>
        </w:rPr>
        <w:t>fathah sin</w:t>
      </w:r>
      <w:r w:rsidRPr="00392BCF">
        <w:rPr>
          <w:rFonts w:asciiTheme="majorBidi" w:hAnsiTheme="majorBidi" w:cstheme="majorBidi"/>
        </w:rPr>
        <w:t xml:space="preserve"> “</w:t>
      </w:r>
      <w:r w:rsidRPr="00392BCF">
        <w:rPr>
          <w:rFonts w:asciiTheme="majorBidi" w:hAnsiTheme="majorBidi" w:cstheme="majorBidi"/>
          <w:i/>
          <w:iCs/>
        </w:rPr>
        <w:t>maisarah</w:t>
      </w:r>
      <w:r w:rsidRPr="00392BCF">
        <w:rPr>
          <w:rFonts w:asciiTheme="majorBidi" w:hAnsiTheme="majorBidi" w:cstheme="majorBidi"/>
        </w:rPr>
        <w:t xml:space="preserve">” </w:t>
      </w:r>
      <w:r w:rsidRPr="00392BCF">
        <w:rPr>
          <w:rFonts w:asciiTheme="majorBidi" w:hAnsiTheme="majorBidi" w:cstheme="majorBidi"/>
          <w:rtl/>
        </w:rPr>
        <w:t>مَيْسَرَةٍ</w:t>
      </w:r>
      <w:r w:rsidRPr="00392BCF">
        <w:rPr>
          <w:rFonts w:asciiTheme="majorBidi" w:hAnsiTheme="majorBidi" w:cstheme="majorBidi"/>
        </w:rPr>
        <w:t xml:space="preserve">   mengikuti lughah Najd</w:t>
      </w:r>
      <w:r w:rsidR="00E731E7" w:rsidRPr="00392BCF">
        <w:rPr>
          <w:rFonts w:asciiTheme="majorBidi" w:hAnsiTheme="majorBidi" w:cstheme="majorBidi"/>
          <w:lang w:val="id-ID"/>
        </w:rPr>
        <w:t>.</w:t>
      </w:r>
      <w:r w:rsidR="00E731E7" w:rsidRPr="00392BCF">
        <w:rPr>
          <w:rStyle w:val="FootnoteReference"/>
          <w:rFonts w:asciiTheme="majorBidi" w:hAnsiTheme="majorBidi" w:cstheme="majorBidi"/>
          <w:shd w:val="clear" w:color="auto" w:fill="FFFFFF"/>
        </w:rPr>
        <w:footnoteReference w:id="41"/>
      </w:r>
      <w:r w:rsidRPr="00392BCF">
        <w:rPr>
          <w:rFonts w:asciiTheme="majorBidi" w:hAnsiTheme="majorBidi" w:cstheme="majorBidi"/>
        </w:rPr>
        <w:t xml:space="preserve"> (3) Abdullah membaca “</w:t>
      </w:r>
      <w:r w:rsidRPr="00392BCF">
        <w:rPr>
          <w:rFonts w:asciiTheme="majorBidi" w:hAnsiTheme="majorBidi" w:cstheme="majorBidi"/>
          <w:i/>
          <w:iCs/>
        </w:rPr>
        <w:t>maisûrih</w:t>
      </w:r>
      <w:r w:rsidRPr="00392BCF">
        <w:rPr>
          <w:rFonts w:asciiTheme="majorBidi" w:hAnsiTheme="majorBidi" w:cstheme="majorBidi"/>
        </w:rPr>
        <w:t>” (</w:t>
      </w:r>
      <w:r w:rsidRPr="00392BCF">
        <w:rPr>
          <w:rFonts w:asciiTheme="majorBidi" w:hAnsiTheme="majorBidi" w:cstheme="majorBidi"/>
          <w:rtl/>
        </w:rPr>
        <w:t>مَيْسُوْرِِهِ</w:t>
      </w:r>
      <w:r w:rsidR="00696179" w:rsidRPr="00392BCF">
        <w:rPr>
          <w:rFonts w:asciiTheme="majorBidi" w:hAnsiTheme="majorBidi" w:cstheme="majorBidi"/>
        </w:rPr>
        <w:t xml:space="preserve">) mengikuti </w:t>
      </w:r>
      <w:proofErr w:type="gramStart"/>
      <w:r w:rsidR="00696179" w:rsidRPr="00392BCF">
        <w:rPr>
          <w:rFonts w:asciiTheme="majorBidi" w:hAnsiTheme="majorBidi" w:cstheme="majorBidi"/>
        </w:rPr>
        <w:t>wazan</w:t>
      </w:r>
      <w:r w:rsidRPr="00392BCF">
        <w:rPr>
          <w:rFonts w:asciiTheme="majorBidi" w:hAnsiTheme="majorBidi" w:cstheme="majorBidi"/>
        </w:rPr>
        <w:t xml:space="preserve">  </w:t>
      </w:r>
      <w:r w:rsidRPr="00392BCF">
        <w:rPr>
          <w:rFonts w:asciiTheme="majorBidi" w:hAnsiTheme="majorBidi" w:cstheme="majorBidi"/>
          <w:rtl/>
        </w:rPr>
        <w:t>مفعول</w:t>
      </w:r>
      <w:proofErr w:type="gramEnd"/>
      <w:r w:rsidRPr="00392BCF">
        <w:rPr>
          <w:rFonts w:asciiTheme="majorBidi" w:hAnsiTheme="majorBidi" w:cstheme="majorBidi"/>
        </w:rPr>
        <w:t xml:space="preserve"> </w:t>
      </w:r>
      <w:r w:rsidRPr="00392BCF">
        <w:rPr>
          <w:rFonts w:asciiTheme="majorBidi" w:hAnsiTheme="majorBidi" w:cstheme="majorBidi"/>
          <w:i/>
          <w:iCs/>
        </w:rPr>
        <w:t>idzafah</w:t>
      </w:r>
      <w:r w:rsidRPr="00392BCF">
        <w:rPr>
          <w:rFonts w:asciiTheme="majorBidi" w:hAnsiTheme="majorBidi" w:cstheme="majorBidi"/>
        </w:rPr>
        <w:t xml:space="preserve"> dengan dhamir (</w:t>
      </w:r>
      <w:r w:rsidRPr="00392BCF">
        <w:rPr>
          <w:rFonts w:asciiTheme="majorBidi" w:hAnsiTheme="majorBidi" w:cstheme="majorBidi"/>
          <w:rtl/>
        </w:rPr>
        <w:t>ه</w:t>
      </w:r>
      <w:r w:rsidRPr="00392BCF">
        <w:rPr>
          <w:rFonts w:asciiTheme="majorBidi" w:hAnsiTheme="majorBidi" w:cstheme="majorBidi"/>
        </w:rPr>
        <w:t xml:space="preserve">) yaitu (kembali kepada </w:t>
      </w:r>
      <w:r w:rsidRPr="00392BCF">
        <w:rPr>
          <w:rFonts w:asciiTheme="majorBidi" w:hAnsiTheme="majorBidi" w:cstheme="majorBidi"/>
          <w:i/>
          <w:iCs/>
        </w:rPr>
        <w:t>al-gharîm</w:t>
      </w:r>
      <w:r w:rsidR="00E731E7" w:rsidRPr="00392BCF">
        <w:rPr>
          <w:rFonts w:asciiTheme="majorBidi" w:hAnsiTheme="majorBidi" w:cstheme="majorBidi"/>
        </w:rPr>
        <w:t xml:space="preserve"> (orang yang berhutang)</w:t>
      </w:r>
      <w:r w:rsidR="00E731E7" w:rsidRPr="00392BCF">
        <w:rPr>
          <w:rFonts w:asciiTheme="majorBidi" w:hAnsiTheme="majorBidi" w:cstheme="majorBidi"/>
          <w:lang w:val="id-ID"/>
        </w:rPr>
        <w:t xml:space="preserve">. </w:t>
      </w:r>
      <w:r w:rsidRPr="00392BCF">
        <w:rPr>
          <w:rFonts w:asciiTheme="majorBidi" w:hAnsiTheme="majorBidi" w:cstheme="majorBidi"/>
          <w:lang w:val="id-ID"/>
        </w:rPr>
        <w:t xml:space="preserve">(4) ‘Athâ’ dan Mujâhid membaca </w:t>
      </w:r>
      <w:r w:rsidRPr="00392BCF">
        <w:rPr>
          <w:rFonts w:asciiTheme="majorBidi" w:hAnsiTheme="majorBidi" w:cstheme="majorBidi"/>
          <w:i/>
          <w:iCs/>
          <w:lang w:val="id-ID"/>
        </w:rPr>
        <w:t>dhammah sin, kasrah ra’</w:t>
      </w:r>
      <w:r w:rsidRPr="00392BCF">
        <w:rPr>
          <w:rFonts w:asciiTheme="majorBidi" w:hAnsiTheme="majorBidi" w:cstheme="majorBidi"/>
          <w:lang w:val="id-ID"/>
        </w:rPr>
        <w:t>”</w:t>
      </w:r>
      <w:r w:rsidRPr="00392BCF">
        <w:rPr>
          <w:rFonts w:asciiTheme="majorBidi" w:hAnsiTheme="majorBidi" w:cstheme="majorBidi"/>
          <w:i/>
          <w:iCs/>
          <w:lang w:val="id-ID"/>
        </w:rPr>
        <w:t>maisûrihî</w:t>
      </w:r>
      <w:r w:rsidRPr="00392BCF">
        <w:rPr>
          <w:rFonts w:asciiTheme="majorBidi" w:hAnsiTheme="majorBidi" w:cstheme="majorBidi"/>
          <w:lang w:val="id-ID"/>
        </w:rPr>
        <w:t xml:space="preserve">” </w:t>
      </w:r>
      <w:r w:rsidRPr="00392BCF">
        <w:rPr>
          <w:rFonts w:asciiTheme="majorBidi" w:hAnsiTheme="majorBidi" w:cstheme="majorBidi"/>
          <w:rtl/>
        </w:rPr>
        <w:t>( مَيْسُرِه)"ِ</w:t>
      </w:r>
      <w:r w:rsidRPr="00392BCF">
        <w:rPr>
          <w:rFonts w:asciiTheme="majorBidi" w:hAnsiTheme="majorBidi" w:cstheme="majorBidi"/>
          <w:i/>
          <w:iCs/>
          <w:lang w:val="id-ID"/>
        </w:rPr>
        <w:t xml:space="preserve"> idzafah</w:t>
      </w:r>
      <w:r w:rsidRPr="00392BCF">
        <w:rPr>
          <w:rFonts w:asciiTheme="majorBidi" w:hAnsiTheme="majorBidi" w:cstheme="majorBidi"/>
          <w:lang w:val="id-ID"/>
        </w:rPr>
        <w:t xml:space="preserve"> dengan </w:t>
      </w:r>
      <w:r w:rsidRPr="00392BCF">
        <w:rPr>
          <w:rFonts w:asciiTheme="majorBidi" w:hAnsiTheme="majorBidi" w:cstheme="majorBidi"/>
          <w:i/>
          <w:iCs/>
          <w:lang w:val="id-ID"/>
        </w:rPr>
        <w:t>ha`dhamir</w:t>
      </w:r>
      <w:r w:rsidRPr="00392BCF">
        <w:rPr>
          <w:rFonts w:asciiTheme="majorBidi" w:hAnsiTheme="majorBidi" w:cstheme="majorBidi"/>
          <w:lang w:val="id-ID"/>
        </w:rPr>
        <w:t xml:space="preserve"> (</w:t>
      </w:r>
      <w:r w:rsidRPr="00392BCF">
        <w:rPr>
          <w:rFonts w:asciiTheme="majorBidi" w:hAnsiTheme="majorBidi" w:cstheme="majorBidi"/>
          <w:rtl/>
        </w:rPr>
        <w:t>ه</w:t>
      </w:r>
      <w:r w:rsidRPr="00392BCF">
        <w:rPr>
          <w:rFonts w:asciiTheme="majorBidi" w:hAnsiTheme="majorBidi" w:cstheme="majorBidi"/>
          <w:lang w:val="id-ID"/>
        </w:rPr>
        <w:t>)</w:t>
      </w:r>
      <w:r w:rsidR="00E731E7" w:rsidRPr="00392BCF">
        <w:rPr>
          <w:rFonts w:asciiTheme="majorBidi" w:hAnsiTheme="majorBidi" w:cstheme="majorBidi"/>
          <w:lang w:val="id-ID"/>
        </w:rPr>
        <w:t>,</w:t>
      </w:r>
      <w:r w:rsidR="00E731E7" w:rsidRPr="00392BCF">
        <w:rPr>
          <w:rStyle w:val="FootnoteReference"/>
          <w:rFonts w:asciiTheme="majorBidi" w:hAnsiTheme="majorBidi" w:cstheme="majorBidi"/>
          <w:shd w:val="clear" w:color="auto" w:fill="FFFFFF"/>
        </w:rPr>
        <w:footnoteReference w:id="42"/>
      </w:r>
      <w:r w:rsidRPr="00392BCF">
        <w:rPr>
          <w:rFonts w:asciiTheme="majorBidi" w:hAnsiTheme="majorBidi" w:cstheme="majorBidi"/>
          <w:lang w:val="id-ID"/>
        </w:rPr>
        <w:t xml:space="preserve"> yang dimaksud adalah (</w:t>
      </w:r>
      <w:r w:rsidRPr="00392BCF">
        <w:rPr>
          <w:rFonts w:asciiTheme="majorBidi" w:hAnsiTheme="majorBidi" w:cstheme="majorBidi"/>
          <w:rtl/>
        </w:rPr>
        <w:t>الغَرِيْم</w:t>
      </w:r>
      <w:r w:rsidR="00696179" w:rsidRPr="00392BCF">
        <w:rPr>
          <w:rFonts w:asciiTheme="majorBidi" w:hAnsiTheme="majorBidi" w:cstheme="majorBidi"/>
          <w:lang w:val="id-ID"/>
        </w:rPr>
        <w:t>)</w:t>
      </w:r>
      <w:r w:rsidRPr="00392BCF">
        <w:rPr>
          <w:rFonts w:asciiTheme="majorBidi" w:hAnsiTheme="majorBidi" w:cstheme="majorBidi"/>
          <w:lang w:val="id-ID"/>
        </w:rPr>
        <w:t xml:space="preserve"> (5) qirâ`ât lain membaca dengan </w:t>
      </w:r>
      <w:r w:rsidRPr="00392BCF">
        <w:rPr>
          <w:rFonts w:asciiTheme="majorBidi" w:hAnsiTheme="majorBidi" w:cstheme="majorBidi"/>
          <w:i/>
          <w:iCs/>
          <w:lang w:val="id-ID"/>
        </w:rPr>
        <w:t>fathah sin</w:t>
      </w:r>
      <w:r w:rsidRPr="00392BCF">
        <w:rPr>
          <w:rFonts w:asciiTheme="majorBidi" w:hAnsiTheme="majorBidi" w:cstheme="majorBidi"/>
          <w:lang w:val="id-ID"/>
        </w:rPr>
        <w:t xml:space="preserve"> “</w:t>
      </w:r>
      <w:r w:rsidRPr="00392BCF">
        <w:rPr>
          <w:rFonts w:asciiTheme="majorBidi" w:hAnsiTheme="majorBidi" w:cstheme="majorBidi"/>
          <w:i/>
          <w:iCs/>
          <w:lang w:val="id-ID"/>
        </w:rPr>
        <w:t>maisarihî</w:t>
      </w:r>
      <w:r w:rsidRPr="00392BCF">
        <w:rPr>
          <w:rFonts w:asciiTheme="majorBidi" w:hAnsiTheme="majorBidi" w:cstheme="majorBidi"/>
          <w:lang w:val="id-ID"/>
        </w:rPr>
        <w:t xml:space="preserve">” </w:t>
      </w:r>
      <w:r w:rsidRPr="00392BCF">
        <w:rPr>
          <w:rFonts w:asciiTheme="majorBidi" w:hAnsiTheme="majorBidi" w:cstheme="majorBidi"/>
          <w:rtl/>
        </w:rPr>
        <w:t>مَيْسَرِه) ِ</w:t>
      </w:r>
      <w:r w:rsidRPr="00392BCF">
        <w:rPr>
          <w:rFonts w:asciiTheme="majorBidi" w:hAnsiTheme="majorBidi" w:cstheme="majorBidi"/>
          <w:lang w:val="id-ID"/>
        </w:rPr>
        <w:t xml:space="preserve"> )</w:t>
      </w:r>
      <w:r w:rsidR="00E731E7" w:rsidRPr="00392BCF">
        <w:rPr>
          <w:rFonts w:asciiTheme="majorBidi" w:hAnsiTheme="majorBidi" w:cstheme="majorBidi"/>
          <w:lang w:val="id-ID"/>
        </w:rPr>
        <w:t>.</w:t>
      </w:r>
    </w:p>
    <w:p w14:paraId="021CBB35" w14:textId="308F7657" w:rsidR="000B3942" w:rsidRPr="00392BCF" w:rsidRDefault="000B3942" w:rsidP="006574F6">
      <w:pPr>
        <w:widowControl w:val="0"/>
        <w:spacing w:after="120" w:line="240" w:lineRule="auto"/>
        <w:ind w:firstLine="709"/>
        <w:jc w:val="both"/>
        <w:rPr>
          <w:rFonts w:asciiTheme="majorBidi" w:hAnsiTheme="majorBidi" w:cstheme="majorBidi"/>
          <w:lang w:val="id-ID"/>
        </w:rPr>
      </w:pPr>
      <w:r w:rsidRPr="00392BCF">
        <w:rPr>
          <w:rFonts w:asciiTheme="majorBidi" w:hAnsiTheme="majorBidi" w:cstheme="majorBidi"/>
          <w:i/>
          <w:iCs/>
        </w:rPr>
        <w:t>Kedua</w:t>
      </w:r>
      <w:r w:rsidRPr="00392BCF">
        <w:rPr>
          <w:rFonts w:asciiTheme="majorBidi" w:hAnsiTheme="majorBidi" w:cstheme="majorBidi"/>
        </w:rPr>
        <w:t xml:space="preserve"> </w:t>
      </w:r>
      <w:r w:rsidRPr="00392BCF">
        <w:rPr>
          <w:rFonts w:asciiTheme="majorBidi" w:hAnsiTheme="majorBidi" w:cstheme="majorBidi"/>
          <w:i/>
          <w:iCs/>
        </w:rPr>
        <w:t>qirâ`ât</w:t>
      </w:r>
      <w:r w:rsidRPr="00392BCF">
        <w:rPr>
          <w:rFonts w:asciiTheme="majorBidi" w:hAnsiTheme="majorBidi" w:cstheme="majorBidi"/>
        </w:rPr>
        <w:t xml:space="preserve"> pertama adalah </w:t>
      </w:r>
      <w:r w:rsidRPr="00392BCF">
        <w:rPr>
          <w:rFonts w:asciiTheme="majorBidi" w:hAnsiTheme="majorBidi" w:cstheme="majorBidi"/>
          <w:i/>
          <w:iCs/>
        </w:rPr>
        <w:t>qirâ</w:t>
      </w:r>
      <w:r w:rsidRPr="00392BCF">
        <w:rPr>
          <w:rFonts w:asciiTheme="majorBidi" w:hAnsiTheme="majorBidi" w:cstheme="majorBidi"/>
        </w:rPr>
        <w:t>`</w:t>
      </w:r>
      <w:r w:rsidRPr="00392BCF">
        <w:rPr>
          <w:rFonts w:asciiTheme="majorBidi" w:hAnsiTheme="majorBidi" w:cstheme="majorBidi"/>
          <w:i/>
          <w:iCs/>
        </w:rPr>
        <w:t>ât</w:t>
      </w:r>
      <w:r w:rsidRPr="00392BCF">
        <w:rPr>
          <w:rFonts w:asciiTheme="majorBidi" w:hAnsiTheme="majorBidi" w:cstheme="majorBidi"/>
        </w:rPr>
        <w:t xml:space="preserve"> mutawatirah dan kedua lughah tersebut masyhur. Akan tetapi yang lebih populer adalah yang membaca </w:t>
      </w:r>
      <w:r w:rsidRPr="00392BCF">
        <w:rPr>
          <w:rFonts w:asciiTheme="majorBidi" w:hAnsiTheme="majorBidi" w:cstheme="majorBidi"/>
          <w:i/>
          <w:iCs/>
        </w:rPr>
        <w:t>fathah sîn</w:t>
      </w:r>
      <w:r w:rsidRPr="00392BCF">
        <w:rPr>
          <w:rFonts w:asciiTheme="majorBidi" w:hAnsiTheme="majorBidi" w:cstheme="majorBidi"/>
        </w:rPr>
        <w:t xml:space="preserve">, seperti ungkapan </w:t>
      </w:r>
      <w:r w:rsidRPr="00392BCF">
        <w:rPr>
          <w:rFonts w:asciiTheme="majorBidi" w:hAnsiTheme="majorBidi" w:cstheme="majorBidi"/>
          <w:rtl/>
        </w:rPr>
        <w:t>مَقْبَرَة</w:t>
      </w:r>
      <w:proofErr w:type="gramStart"/>
      <w:r w:rsidRPr="00392BCF">
        <w:rPr>
          <w:rFonts w:asciiTheme="majorBidi" w:hAnsiTheme="majorBidi" w:cstheme="majorBidi"/>
          <w:rtl/>
        </w:rPr>
        <w:t>ٌ ,</w:t>
      </w:r>
      <w:proofErr w:type="gramEnd"/>
      <w:r w:rsidRPr="00392BCF">
        <w:rPr>
          <w:rFonts w:asciiTheme="majorBidi" w:hAnsiTheme="majorBidi" w:cstheme="majorBidi"/>
          <w:rtl/>
        </w:rPr>
        <w:t xml:space="preserve"> مَشْرَفَةٌ , مَسْرَبَةٌ</w:t>
      </w:r>
      <w:r w:rsidRPr="00392BCF">
        <w:rPr>
          <w:rFonts w:asciiTheme="majorBidi" w:hAnsiTheme="majorBidi" w:cstheme="majorBidi"/>
        </w:rPr>
        <w:t xml:space="preserve">  karena banyak dipakai. </w:t>
      </w:r>
      <w:r w:rsidR="00612895" w:rsidRPr="00392BCF">
        <w:rPr>
          <w:rFonts w:asciiTheme="majorBidi" w:hAnsiTheme="majorBidi" w:cstheme="majorBidi"/>
          <w:shd w:val="clear" w:color="auto" w:fill="FFFFFF"/>
        </w:rPr>
        <w:t>Pertanyaannya membahas berbagai qirâ'at dan lughah dalam konteks variasi bacaan dalam Al-Qur'an. Qirâ`ât mutawatirah dianggap otoritatif, sedangkan lughah adalah masyhur, dengan beberapa v</w:t>
      </w:r>
      <w:r w:rsidR="00E731E7" w:rsidRPr="00392BCF">
        <w:rPr>
          <w:rFonts w:asciiTheme="majorBidi" w:hAnsiTheme="majorBidi" w:cstheme="majorBidi"/>
          <w:shd w:val="clear" w:color="auto" w:fill="FFFFFF"/>
        </w:rPr>
        <w:t>ariasi seperti membaca fathah s</w:t>
      </w:r>
      <w:r w:rsidR="00612895" w:rsidRPr="00392BCF">
        <w:rPr>
          <w:rFonts w:asciiTheme="majorBidi" w:hAnsiTheme="majorBidi" w:cstheme="majorBidi"/>
          <w:shd w:val="clear" w:color="auto" w:fill="FFFFFF"/>
        </w:rPr>
        <w:t>in menjadi lebih umum karena penggunaannya yang luas.</w:t>
      </w:r>
      <w:r w:rsidR="00612895" w:rsidRPr="00392BCF">
        <w:rPr>
          <w:rStyle w:val="FootnoteReference"/>
          <w:rFonts w:asciiTheme="majorBidi" w:hAnsiTheme="majorBidi" w:cstheme="majorBidi"/>
          <w:shd w:val="clear" w:color="auto" w:fill="FFFFFF"/>
        </w:rPr>
        <w:footnoteReference w:id="43"/>
      </w:r>
      <w:r w:rsidR="00612895" w:rsidRPr="00392BCF">
        <w:rPr>
          <w:rFonts w:asciiTheme="majorBidi" w:hAnsiTheme="majorBidi" w:cstheme="majorBidi"/>
          <w:shd w:val="clear" w:color="auto" w:fill="FFFFFF"/>
        </w:rPr>
        <w:t xml:space="preserve"> </w:t>
      </w:r>
      <w:r w:rsidR="00E731E7" w:rsidRPr="00392BCF">
        <w:rPr>
          <w:rFonts w:asciiTheme="majorBidi" w:hAnsiTheme="majorBidi" w:cstheme="majorBidi"/>
        </w:rPr>
        <w:t xml:space="preserve">Demikian menurut Abu </w:t>
      </w:r>
      <w:r w:rsidR="00E731E7" w:rsidRPr="00392BCF">
        <w:rPr>
          <w:rFonts w:asciiTheme="majorBidi" w:hAnsiTheme="majorBidi" w:cstheme="majorBidi"/>
          <w:u w:val="single"/>
        </w:rPr>
        <w:t>H</w:t>
      </w:r>
      <w:r w:rsidR="00E731E7" w:rsidRPr="00392BCF">
        <w:rPr>
          <w:rFonts w:asciiTheme="majorBidi" w:hAnsiTheme="majorBidi" w:cstheme="majorBidi"/>
        </w:rPr>
        <w:t>ayyân yang menukil dari pendapat al-Râzi dari tafsirnya.</w:t>
      </w:r>
      <w:r w:rsidR="00073A06">
        <w:rPr>
          <w:rStyle w:val="FootnoteReference"/>
          <w:rFonts w:asciiTheme="majorBidi" w:hAnsiTheme="majorBidi"/>
        </w:rPr>
        <w:footnoteReference w:id="44"/>
      </w:r>
      <w:r w:rsidR="00E731E7" w:rsidRPr="00392BCF">
        <w:rPr>
          <w:rFonts w:asciiTheme="majorBidi" w:hAnsiTheme="majorBidi" w:cstheme="majorBidi"/>
          <w:lang w:val="id-ID"/>
        </w:rPr>
        <w:t xml:space="preserve"> Adapun qirâ`ât lainnya adalah </w:t>
      </w:r>
      <w:r w:rsidR="00E731E7" w:rsidRPr="00392BCF">
        <w:rPr>
          <w:rFonts w:asciiTheme="majorBidi" w:hAnsiTheme="majorBidi" w:cstheme="majorBidi"/>
          <w:i/>
          <w:iCs/>
          <w:lang w:val="id-ID"/>
        </w:rPr>
        <w:t>syâdzdzah</w:t>
      </w:r>
      <w:r w:rsidR="00E731E7" w:rsidRPr="00392BCF">
        <w:rPr>
          <w:rFonts w:asciiTheme="majorBidi" w:hAnsiTheme="majorBidi" w:cstheme="majorBidi"/>
          <w:lang w:val="id-ID"/>
        </w:rPr>
        <w:t xml:space="preserve">. Pada </w:t>
      </w:r>
      <w:r w:rsidR="00E731E7" w:rsidRPr="00392BCF">
        <w:rPr>
          <w:rFonts w:asciiTheme="majorBidi" w:hAnsiTheme="majorBidi" w:cstheme="majorBidi"/>
          <w:rtl/>
        </w:rPr>
        <w:t>مَيْسُوْرِهِ</w:t>
      </w:r>
      <w:r w:rsidR="00E731E7" w:rsidRPr="00392BCF">
        <w:rPr>
          <w:rFonts w:asciiTheme="majorBidi" w:hAnsiTheme="majorBidi" w:cstheme="majorBidi"/>
          <w:lang w:val="id-ID"/>
        </w:rPr>
        <w:t xml:space="preserve"> dari segi rasm Usmani tidak sesuai karena ada penambahan </w:t>
      </w:r>
      <w:r w:rsidR="00E731E7" w:rsidRPr="00392BCF">
        <w:rPr>
          <w:rFonts w:asciiTheme="majorBidi" w:hAnsiTheme="majorBidi" w:cstheme="majorBidi"/>
          <w:i/>
          <w:iCs/>
          <w:lang w:val="id-ID"/>
        </w:rPr>
        <w:t>waw</w:t>
      </w:r>
      <w:r w:rsidR="00E731E7" w:rsidRPr="00392BCF">
        <w:rPr>
          <w:rFonts w:asciiTheme="majorBidi" w:hAnsiTheme="majorBidi" w:cstheme="majorBidi"/>
          <w:lang w:val="id-ID"/>
        </w:rPr>
        <w:t>,</w:t>
      </w:r>
      <w:r w:rsidR="00073A06">
        <w:rPr>
          <w:rStyle w:val="FootnoteReference"/>
          <w:rFonts w:asciiTheme="majorBidi" w:hAnsiTheme="majorBidi"/>
          <w:lang w:val="id-ID"/>
        </w:rPr>
        <w:footnoteReference w:id="45"/>
      </w:r>
      <w:r w:rsidR="00612895" w:rsidRPr="00392BCF">
        <w:rPr>
          <w:rFonts w:asciiTheme="majorBidi" w:hAnsiTheme="majorBidi" w:cstheme="majorBidi"/>
          <w:shd w:val="clear" w:color="auto" w:fill="FFFFFF"/>
          <w:lang w:val="id-ID"/>
        </w:rPr>
        <w:t xml:space="preserve"> menimbulkan pertanyaan tentang kesesuaian dalam </w:t>
      </w:r>
      <w:r w:rsidR="00612895" w:rsidRPr="00392BCF">
        <w:rPr>
          <w:rFonts w:asciiTheme="majorBidi" w:hAnsiTheme="majorBidi" w:cstheme="majorBidi"/>
          <w:shd w:val="clear" w:color="auto" w:fill="FFFFFF"/>
          <w:lang w:val="id-ID"/>
        </w:rPr>
        <w:lastRenderedPageBreak/>
        <w:t>pembacaan tertentu.</w:t>
      </w:r>
      <w:r w:rsidR="00073A06">
        <w:rPr>
          <w:rStyle w:val="FootnoteReference"/>
          <w:rFonts w:asciiTheme="majorBidi" w:hAnsiTheme="majorBidi"/>
          <w:shd w:val="clear" w:color="auto" w:fill="FFFFFF"/>
          <w:lang w:val="id-ID"/>
        </w:rPr>
        <w:footnoteReference w:id="46"/>
      </w:r>
      <w:r w:rsidR="00612895" w:rsidRPr="00392BCF">
        <w:rPr>
          <w:rFonts w:asciiTheme="majorBidi" w:hAnsiTheme="majorBidi" w:cstheme="majorBidi"/>
          <w:shd w:val="clear" w:color="auto" w:fill="FFFFFF"/>
          <w:lang w:val="id-ID"/>
        </w:rPr>
        <w:t xml:space="preserve"> Variasi ini menyoroti kompleksitas dan keragaman dalam tradisi qirat Al-Qur'an, yang mencerminkan sejarah yang kaya dan perdebatan ilmiah seputar praktik pembacaannya.</w:t>
      </w:r>
      <w:r w:rsidR="0090578F" w:rsidRPr="00392BCF">
        <w:rPr>
          <w:rFonts w:asciiTheme="majorBidi" w:hAnsiTheme="majorBidi" w:cstheme="majorBidi"/>
          <w:lang w:val="id-ID"/>
        </w:rPr>
        <w:t xml:space="preserve"> </w:t>
      </w:r>
      <w:r w:rsidRPr="00392BCF">
        <w:rPr>
          <w:rFonts w:asciiTheme="majorBidi" w:hAnsiTheme="majorBidi" w:cstheme="majorBidi"/>
          <w:i/>
          <w:iCs/>
          <w:lang w:val="id-ID"/>
        </w:rPr>
        <w:t>Keempat,</w:t>
      </w:r>
      <w:r w:rsidRPr="00392BCF">
        <w:rPr>
          <w:rFonts w:asciiTheme="majorBidi" w:hAnsiTheme="majorBidi" w:cstheme="majorBidi"/>
          <w:lang w:val="id-ID"/>
        </w:rPr>
        <w:t xml:space="preserve"> pada lafal </w:t>
      </w:r>
      <w:r w:rsidRPr="00392BCF">
        <w:rPr>
          <w:rFonts w:asciiTheme="majorBidi" w:hAnsiTheme="majorBidi" w:cstheme="majorBidi"/>
          <w:rtl/>
        </w:rPr>
        <w:t>وَاَنْ تَصَدَّقُوْا خَيْرٌ لَكُمْ</w:t>
      </w:r>
      <w:r w:rsidRPr="00392BCF">
        <w:rPr>
          <w:rFonts w:asciiTheme="majorBidi" w:hAnsiTheme="majorBidi" w:cstheme="majorBidi"/>
          <w:lang w:val="id-ID"/>
        </w:rPr>
        <w:t xml:space="preserve"> ada tiga qirâ`ât yang diangkat, yaitu: (1) seluruh Imam Qirâ`ât tujuh selain ‘Ashim membaca dengan mengidghamkan </w:t>
      </w:r>
      <w:r w:rsidRPr="00392BCF">
        <w:rPr>
          <w:rFonts w:asciiTheme="majorBidi" w:hAnsiTheme="majorBidi" w:cstheme="majorBidi"/>
          <w:i/>
          <w:iCs/>
          <w:lang w:val="id-ID"/>
        </w:rPr>
        <w:t>ta</w:t>
      </w:r>
      <w:r w:rsidRPr="00392BCF">
        <w:rPr>
          <w:rFonts w:asciiTheme="majorBidi" w:hAnsiTheme="majorBidi" w:cstheme="majorBidi"/>
          <w:lang w:val="id-ID"/>
        </w:rPr>
        <w:t xml:space="preserve">` ke </w:t>
      </w:r>
      <w:r w:rsidRPr="00392BCF">
        <w:rPr>
          <w:rFonts w:asciiTheme="majorBidi" w:hAnsiTheme="majorBidi" w:cstheme="majorBidi"/>
          <w:i/>
          <w:iCs/>
          <w:lang w:val="id-ID"/>
        </w:rPr>
        <w:t>thâ</w:t>
      </w:r>
      <w:r w:rsidRPr="00392BCF">
        <w:rPr>
          <w:rFonts w:asciiTheme="majorBidi" w:hAnsiTheme="majorBidi" w:cstheme="majorBidi"/>
          <w:lang w:val="id-ID"/>
        </w:rPr>
        <w:t>` (</w:t>
      </w:r>
      <w:r w:rsidRPr="00392BCF">
        <w:rPr>
          <w:rFonts w:asciiTheme="majorBidi" w:hAnsiTheme="majorBidi" w:cstheme="majorBidi"/>
          <w:rtl/>
        </w:rPr>
        <w:t>تَصَّدَّقُوْا</w:t>
      </w:r>
      <w:r w:rsidRPr="00392BCF">
        <w:rPr>
          <w:rFonts w:asciiTheme="majorBidi" w:hAnsiTheme="majorBidi" w:cstheme="majorBidi"/>
          <w:lang w:val="id-ID"/>
        </w:rPr>
        <w:t xml:space="preserve">), (2) ‘Âshim membaca dengan </w:t>
      </w:r>
      <w:r w:rsidRPr="00392BCF">
        <w:rPr>
          <w:rFonts w:asciiTheme="majorBidi" w:hAnsiTheme="majorBidi" w:cstheme="majorBidi"/>
          <w:i/>
          <w:iCs/>
          <w:lang w:val="id-ID"/>
        </w:rPr>
        <w:t>hadzf ta`</w:t>
      </w:r>
      <w:r w:rsidRPr="00392BCF">
        <w:rPr>
          <w:rFonts w:asciiTheme="majorBidi" w:hAnsiTheme="majorBidi" w:cstheme="majorBidi"/>
          <w:lang w:val="id-ID"/>
        </w:rPr>
        <w:t xml:space="preserve"> (</w:t>
      </w:r>
      <w:r w:rsidRPr="00392BCF">
        <w:rPr>
          <w:rFonts w:asciiTheme="majorBidi" w:hAnsiTheme="majorBidi" w:cstheme="majorBidi"/>
          <w:rtl/>
        </w:rPr>
        <w:t>تَصَدَّقُوْا</w:t>
      </w:r>
      <w:r w:rsidRPr="00392BCF">
        <w:rPr>
          <w:rFonts w:asciiTheme="majorBidi" w:hAnsiTheme="majorBidi" w:cstheme="majorBidi"/>
          <w:lang w:val="id-ID"/>
        </w:rPr>
        <w:t xml:space="preserve">), dan (3) Dalam mushaf ‘Abdullah tertulis dengan dua </w:t>
      </w:r>
      <w:r w:rsidRPr="00392BCF">
        <w:rPr>
          <w:rFonts w:asciiTheme="majorBidi" w:hAnsiTheme="majorBidi" w:cstheme="majorBidi"/>
          <w:i/>
          <w:iCs/>
          <w:lang w:val="id-ID"/>
        </w:rPr>
        <w:t>ta</w:t>
      </w:r>
      <w:r w:rsidRPr="00392BCF">
        <w:rPr>
          <w:rFonts w:asciiTheme="majorBidi" w:hAnsiTheme="majorBidi" w:cstheme="majorBidi"/>
          <w:lang w:val="id-ID"/>
        </w:rPr>
        <w:t>` (</w:t>
      </w:r>
      <w:r w:rsidRPr="00392BCF">
        <w:rPr>
          <w:rFonts w:asciiTheme="majorBidi" w:hAnsiTheme="majorBidi" w:cstheme="majorBidi"/>
          <w:rtl/>
        </w:rPr>
        <w:t>تَتَصَدَّقُُوأ</w:t>
      </w:r>
      <w:r w:rsidRPr="00392BCF">
        <w:rPr>
          <w:rFonts w:asciiTheme="majorBidi" w:hAnsiTheme="majorBidi" w:cstheme="majorBidi"/>
          <w:lang w:val="id-ID"/>
        </w:rPr>
        <w:t xml:space="preserve">) yakni memperlihatkan asal redaksi kata </w:t>
      </w:r>
      <w:r w:rsidRPr="00392BCF">
        <w:rPr>
          <w:rFonts w:asciiTheme="majorBidi" w:hAnsiTheme="majorBidi" w:cstheme="majorBidi"/>
          <w:rtl/>
        </w:rPr>
        <w:t>تَصَدَّقُوْا</w:t>
      </w:r>
      <w:r w:rsidRPr="00392BCF">
        <w:rPr>
          <w:rFonts w:asciiTheme="majorBidi" w:hAnsiTheme="majorBidi" w:cstheme="majorBidi"/>
          <w:lang w:val="id-ID"/>
        </w:rPr>
        <w:t>.</w:t>
      </w:r>
      <w:r w:rsidR="006574F6">
        <w:rPr>
          <w:rStyle w:val="FootnoteReference"/>
          <w:rFonts w:asciiTheme="majorBidi" w:hAnsiTheme="majorBidi"/>
          <w:lang w:val="id-ID"/>
        </w:rPr>
        <w:footnoteReference w:id="47"/>
      </w:r>
      <w:r w:rsidRPr="00392BCF">
        <w:rPr>
          <w:rFonts w:asciiTheme="majorBidi" w:hAnsiTheme="majorBidi" w:cstheme="majorBidi"/>
          <w:lang w:val="id-ID"/>
        </w:rPr>
        <w:t xml:space="preserve"> </w:t>
      </w:r>
    </w:p>
    <w:p w14:paraId="6EBFC185" w14:textId="77777777" w:rsidR="005B6EAC" w:rsidRPr="00392BCF" w:rsidRDefault="005B6EAC" w:rsidP="005875DA">
      <w:pPr>
        <w:widowControl w:val="0"/>
        <w:spacing w:after="120" w:line="240" w:lineRule="auto"/>
        <w:jc w:val="both"/>
        <w:rPr>
          <w:rFonts w:asciiTheme="majorBidi" w:hAnsiTheme="majorBidi" w:cstheme="majorBidi"/>
          <w:lang w:val="id-ID"/>
        </w:rPr>
      </w:pPr>
    </w:p>
    <w:p w14:paraId="4D7002AD" w14:textId="390A358C" w:rsidR="005B6EAC" w:rsidRPr="00392BCF" w:rsidRDefault="005B6EAC" w:rsidP="005875DA">
      <w:pPr>
        <w:widowControl w:val="0"/>
        <w:spacing w:after="120" w:line="240" w:lineRule="auto"/>
        <w:jc w:val="both"/>
        <w:rPr>
          <w:rFonts w:asciiTheme="majorBidi" w:hAnsiTheme="majorBidi" w:cstheme="majorBidi"/>
          <w:b/>
          <w:bCs/>
          <w:lang w:val="id-ID"/>
        </w:rPr>
      </w:pPr>
      <w:r w:rsidRPr="00392BCF">
        <w:rPr>
          <w:rFonts w:asciiTheme="majorBidi" w:hAnsiTheme="majorBidi" w:cstheme="majorBidi"/>
          <w:b/>
          <w:bCs/>
        </w:rPr>
        <w:t>Implikasi Hukum dan Etika dari Perbedaan Qirâ'at</w:t>
      </w:r>
    </w:p>
    <w:p w14:paraId="247606B2" w14:textId="77777777" w:rsidR="00D162A3" w:rsidRPr="00392BCF" w:rsidRDefault="000B3942"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lang w:val="id-ID"/>
        </w:rPr>
        <w:t xml:space="preserve">Berdasarkan beberapa penjelasan terkait dengan perbedaan qirâ`ât di atas, redaksi yang dijelaskan pada </w:t>
      </w:r>
      <w:r w:rsidRPr="00392BCF">
        <w:rPr>
          <w:rFonts w:asciiTheme="majorBidi" w:hAnsiTheme="majorBidi" w:cstheme="majorBidi"/>
          <w:i/>
          <w:iCs/>
          <w:lang w:val="id-ID"/>
        </w:rPr>
        <w:t>qirâ`ât</w:t>
      </w:r>
      <w:r w:rsidRPr="00392BCF">
        <w:rPr>
          <w:rFonts w:asciiTheme="majorBidi" w:hAnsiTheme="majorBidi" w:cstheme="majorBidi"/>
          <w:lang w:val="id-ID"/>
        </w:rPr>
        <w:t xml:space="preserve"> kedua (</w:t>
      </w:r>
      <w:r w:rsidRPr="00392BCF">
        <w:rPr>
          <w:rFonts w:asciiTheme="majorBidi" w:hAnsiTheme="majorBidi" w:cstheme="majorBidi"/>
          <w:rtl/>
        </w:rPr>
        <w:t>فَنَظِرَةٌ</w:t>
      </w:r>
      <w:r w:rsidRPr="00392BCF">
        <w:rPr>
          <w:rFonts w:asciiTheme="majorBidi" w:hAnsiTheme="majorBidi" w:cstheme="majorBidi"/>
          <w:lang w:val="id-ID"/>
        </w:rPr>
        <w:t xml:space="preserve">) dan lainnya, menggunakan redaksi perintah dan masdar. Oleh kerena itu dapat dijelaskan maksud ayat sebagai berikut: (1) Apabila orang yang berhutang mengalami kesulitan atau menderita kebangkrutan, maka pemilik modal menunggu sampai orang yang berhutang dalam keadaan lapang dan mampu melunasi hutangnya. </w:t>
      </w:r>
      <w:r w:rsidRPr="00392BCF">
        <w:rPr>
          <w:rFonts w:asciiTheme="majorBidi" w:hAnsiTheme="majorBidi" w:cstheme="majorBidi"/>
        </w:rPr>
        <w:t>(2) Apabila orang yang berhutang mengalami kesulitan atau menderita kebangkrutan, maka pemilik modal menunggu sampai orang yang berhutang mampu melunasi hutangnya. (3) Apabila orang yang berhutang mengalami kesulitan atau menderita kebangkrutan, maka tunggulah sampai dia mampu mengembalikan hutangnya.</w:t>
      </w:r>
    </w:p>
    <w:p w14:paraId="5C617AF2" w14:textId="60F4D1CB" w:rsidR="00E52D77" w:rsidRPr="00392BCF" w:rsidRDefault="00E52D77"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rPr>
        <w:t>Perbedaan qirâ`ât dalam konteks pembayaran utang selama kebangkrutan menyoroti pertimbangan hukum dan etika dalam hubungan antara kreditor dan debitur. Interpretasi menunjukkan bahwa kreditor diharapkan untuk bersabar dan menunggu pemulihan keuangan debitur sebelum menuntut pembayaran. Proses Penangguhan Kewajiban Pembayaran Utang (PKPU) memungkinkan debitur untuk mengajukan rencana perdamaian untuk pembayaran utang, dan jika rencana tersebut ditolak, kebangkrutan dinyatakan.</w:t>
      </w:r>
      <w:r w:rsidRPr="00392BCF">
        <w:rPr>
          <w:rStyle w:val="FootnoteReference"/>
          <w:rFonts w:asciiTheme="majorBidi" w:hAnsiTheme="majorBidi" w:cstheme="majorBidi"/>
        </w:rPr>
        <w:footnoteReference w:id="48"/>
      </w:r>
      <w:r w:rsidRPr="00392BCF">
        <w:rPr>
          <w:rFonts w:asciiTheme="majorBidi" w:hAnsiTheme="majorBidi" w:cstheme="majorBidi"/>
        </w:rPr>
        <w:t xml:space="preserve">Dalam kasus kebangkrutan, kreditor harus menunggu proses </w:t>
      </w:r>
      <w:r w:rsidRPr="00392BCF">
        <w:rPr>
          <w:rFonts w:asciiTheme="majorBidi" w:hAnsiTheme="majorBidi" w:cstheme="majorBidi"/>
        </w:rPr>
        <w:lastRenderedPageBreak/>
        <w:t>pengelolaan aset debitur, menekankan perlunya kesabaran selama masa kesulitan keuangan.</w:t>
      </w:r>
      <w:r w:rsidRPr="00392BCF">
        <w:rPr>
          <w:rStyle w:val="FootnoteReference"/>
          <w:rFonts w:asciiTheme="majorBidi" w:hAnsiTheme="majorBidi" w:cstheme="majorBidi"/>
        </w:rPr>
        <w:footnoteReference w:id="49"/>
      </w:r>
      <w:r w:rsidRPr="00392BCF">
        <w:rPr>
          <w:rFonts w:asciiTheme="majorBidi" w:hAnsiTheme="majorBidi" w:cstheme="majorBidi"/>
        </w:rPr>
        <w:t>Pertimbangan etis, seperti penerapan prinsip qiyas dalam hukum Islam, mendukung kewajiban moral kreditor untuk membantu debitur dalam kesulitan, menekankan pentingnya menunggu hingga debitur dapat melunasi utangnya.</w:t>
      </w:r>
      <w:r w:rsidRPr="00392BCF">
        <w:rPr>
          <w:rStyle w:val="FootnoteReference"/>
          <w:rFonts w:asciiTheme="majorBidi" w:hAnsiTheme="majorBidi" w:cstheme="majorBidi"/>
        </w:rPr>
        <w:footnoteReference w:id="50"/>
      </w:r>
      <w:r w:rsidRPr="00392BCF">
        <w:rPr>
          <w:rFonts w:asciiTheme="majorBidi" w:hAnsiTheme="majorBidi" w:cstheme="majorBidi"/>
        </w:rPr>
        <w:t xml:space="preserve"> Selain itu, undang-undang fidusia menekankan praktik etika dalam manajemen agunan, yang berdampak pada kemampuan debitur untuk memulihkan keuangan.</w:t>
      </w:r>
      <w:r w:rsidRPr="00392BCF">
        <w:rPr>
          <w:rStyle w:val="FootnoteReference"/>
          <w:rFonts w:asciiTheme="majorBidi" w:hAnsiTheme="majorBidi" w:cstheme="majorBidi"/>
        </w:rPr>
        <w:footnoteReference w:id="51"/>
      </w:r>
      <w:r w:rsidRPr="00392BCF">
        <w:rPr>
          <w:rFonts w:asciiTheme="majorBidi" w:hAnsiTheme="majorBidi" w:cstheme="majorBidi"/>
        </w:rPr>
        <w:t xml:space="preserve"> </w:t>
      </w:r>
    </w:p>
    <w:p w14:paraId="20250D54" w14:textId="2B2130B7" w:rsidR="003C6A26" w:rsidRPr="00392BCF" w:rsidRDefault="0080742E"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shd w:val="clear" w:color="auto" w:fill="FFFFFF"/>
        </w:rPr>
        <w:t>Perbedaan antara qirâ'ât mutawatirah dan qirâ`ât syâdzdzah berkontribusi pada beragam interpretasi ayat-ayat.</w:t>
      </w:r>
      <w:r w:rsidRPr="00392BCF">
        <w:rPr>
          <w:rStyle w:val="FootnoteReference"/>
          <w:rFonts w:asciiTheme="majorBidi" w:hAnsiTheme="majorBidi" w:cstheme="majorBidi"/>
          <w:shd w:val="clear" w:color="auto" w:fill="FFFFFF"/>
        </w:rPr>
        <w:footnoteReference w:id="52"/>
      </w:r>
      <w:r w:rsidRPr="00392BCF">
        <w:rPr>
          <w:rFonts w:asciiTheme="majorBidi" w:hAnsiTheme="majorBidi" w:cstheme="majorBidi"/>
          <w:shd w:val="clear" w:color="auto" w:fill="FFFFFF"/>
        </w:rPr>
        <w:t xml:space="preserve"> Para ulama memperdebatkan klasifikasi perintah dalam qirâ`at, apakah menunjukkan kewajiban atau Sunnah, yang mempengaruhi persyaratan pembayaran utang.</w:t>
      </w:r>
      <w:r w:rsidRPr="00392BCF">
        <w:rPr>
          <w:rStyle w:val="FootnoteReference"/>
          <w:rFonts w:asciiTheme="majorBidi" w:hAnsiTheme="majorBidi" w:cstheme="majorBidi"/>
          <w:shd w:val="clear" w:color="auto" w:fill="FFFFFF"/>
        </w:rPr>
        <w:footnoteReference w:id="53"/>
      </w:r>
      <w:r w:rsidRPr="00392BCF">
        <w:rPr>
          <w:rFonts w:asciiTheme="majorBidi" w:hAnsiTheme="majorBidi" w:cstheme="majorBidi"/>
          <w:shd w:val="clear" w:color="auto" w:fill="FFFFFF"/>
        </w:rPr>
        <w:t xml:space="preserve"> Memberikan bantuan kepada debitur di luar persyaratan hukum dianggap berbudi luhur, selaras dengan prinsip Quran memberi sedekah.</w:t>
      </w:r>
      <w:r w:rsidRPr="00392BCF">
        <w:rPr>
          <w:rStyle w:val="FootnoteReference"/>
          <w:rFonts w:asciiTheme="majorBidi" w:hAnsiTheme="majorBidi" w:cstheme="majorBidi"/>
          <w:shd w:val="clear" w:color="auto" w:fill="FFFFFF"/>
        </w:rPr>
        <w:footnoteReference w:id="54"/>
      </w:r>
      <w:r w:rsidRPr="00392BCF">
        <w:rPr>
          <w:rFonts w:asciiTheme="majorBidi" w:hAnsiTheme="majorBidi" w:cstheme="majorBidi"/>
          <w:shd w:val="clear" w:color="auto" w:fill="FFFFFF"/>
        </w:rPr>
        <w:t xml:space="preserve"> Pemahaman yang bernuansa tentang kewajiban dan tindakan kebaikan ini menunjukkan interaksi yang rumit antara interpretasi hukum dan pertimbangan etis dalam yurisprudensi Islam.</w:t>
      </w:r>
    </w:p>
    <w:p w14:paraId="2781328E" w14:textId="231400F4" w:rsidR="00E52D77" w:rsidRPr="00392BCF" w:rsidRDefault="00E52D77" w:rsidP="005875DA">
      <w:pPr>
        <w:widowControl w:val="0"/>
        <w:spacing w:after="120" w:line="240" w:lineRule="auto"/>
        <w:ind w:firstLine="709"/>
        <w:jc w:val="both"/>
        <w:rPr>
          <w:rFonts w:asciiTheme="majorBidi" w:hAnsiTheme="majorBidi" w:cstheme="majorBidi"/>
          <w:shd w:val="clear" w:color="auto" w:fill="FFFFFF"/>
        </w:rPr>
      </w:pPr>
      <w:r w:rsidRPr="00392BCF">
        <w:rPr>
          <w:rFonts w:asciiTheme="majorBidi" w:hAnsiTheme="majorBidi" w:cstheme="majorBidi"/>
          <w:shd w:val="clear" w:color="auto" w:fill="FFFFFF"/>
        </w:rPr>
        <w:t>Perbedaan antara qirâ'at mutawatirah dan qirâ'at shâdzdzah secara signifikan memengaruhi interpretasi ayat-ayat Al-Quran, khususnya terkait perintah mengenai pembayaran utang. Qirâ'at mutawatirah, yang diakui sebagai sumber otoritatif, memastikan integritas interpretasi Al-Quran dan memperkuat kewajiban moral untuk membantu debitur sampai mereka dapat membayar utangnya.</w:t>
      </w:r>
      <w:r w:rsidRPr="00392BCF">
        <w:rPr>
          <w:rStyle w:val="FootnoteReference"/>
          <w:rFonts w:asciiTheme="majorBidi" w:hAnsiTheme="majorBidi" w:cstheme="majorBidi"/>
          <w:shd w:val="clear" w:color="auto" w:fill="FFFFFF"/>
        </w:rPr>
        <w:footnoteReference w:id="55"/>
      </w:r>
      <w:r w:rsidRPr="00392BCF">
        <w:rPr>
          <w:rFonts w:asciiTheme="majorBidi" w:hAnsiTheme="majorBidi" w:cstheme="majorBidi"/>
          <w:shd w:val="clear" w:color="auto" w:fill="FFFFFF"/>
        </w:rPr>
        <w:t xml:space="preserve"> Sebaliknya, qirâ'at shâdzdzah dapat mengarah pada berbagai interpretasi, yang mempengaruhi keputusan hukum tentang </w:t>
      </w:r>
      <w:r w:rsidRPr="00392BCF">
        <w:rPr>
          <w:rFonts w:asciiTheme="majorBidi" w:hAnsiTheme="majorBidi" w:cstheme="majorBidi"/>
          <w:shd w:val="clear" w:color="auto" w:fill="FFFFFF"/>
        </w:rPr>
        <w:lastRenderedPageBreak/>
        <w:t>pembayaran utang dan mungkin dianggap sebagai Sunnah, memberi ruang untuk pendekatan yang lebih fleksibel terhadap bantuan utang.</w:t>
      </w:r>
      <w:r w:rsidRPr="00392BCF">
        <w:rPr>
          <w:rStyle w:val="FootnoteReference"/>
          <w:rFonts w:asciiTheme="majorBidi" w:hAnsiTheme="majorBidi" w:cstheme="majorBidi"/>
          <w:shd w:val="clear" w:color="auto" w:fill="FFFFFF"/>
        </w:rPr>
        <w:footnoteReference w:id="56"/>
      </w:r>
    </w:p>
    <w:p w14:paraId="227D3CD1" w14:textId="77777777" w:rsidR="00E52D77" w:rsidRPr="00392BCF" w:rsidRDefault="00E52D77" w:rsidP="005875DA">
      <w:pPr>
        <w:widowControl w:val="0"/>
        <w:spacing w:after="120" w:line="240" w:lineRule="auto"/>
        <w:ind w:firstLine="709"/>
        <w:jc w:val="both"/>
        <w:rPr>
          <w:rFonts w:asciiTheme="majorBidi" w:hAnsiTheme="majorBidi" w:cstheme="majorBidi"/>
          <w:shd w:val="clear" w:color="auto" w:fill="FFFFFF"/>
        </w:rPr>
      </w:pPr>
      <w:r w:rsidRPr="00392BCF">
        <w:rPr>
          <w:rFonts w:asciiTheme="majorBidi" w:hAnsiTheme="majorBidi" w:cstheme="majorBidi"/>
          <w:shd w:val="clear" w:color="auto" w:fill="FFFFFF"/>
        </w:rPr>
        <w:t>Dalam konteks ini, beberapa fuqaha menekankan kewajiban moral untuk membantu debitur dalam kesulitan, sejalan dengan prinsip amal yang diuraikan dalam Al-Quran.</w:t>
      </w:r>
      <w:r w:rsidRPr="00392BCF">
        <w:rPr>
          <w:rStyle w:val="FootnoteReference"/>
          <w:rFonts w:asciiTheme="majorBidi" w:hAnsiTheme="majorBidi" w:cstheme="majorBidi"/>
          <w:shd w:val="clear" w:color="auto" w:fill="FFFFFF"/>
        </w:rPr>
        <w:footnoteReference w:id="57"/>
      </w:r>
      <w:r w:rsidRPr="00392BCF">
        <w:rPr>
          <w:rFonts w:asciiTheme="majorBidi" w:hAnsiTheme="majorBidi" w:cstheme="majorBidi"/>
          <w:shd w:val="clear" w:color="auto" w:fill="FFFFFF"/>
        </w:rPr>
        <w:t xml:space="preserve"> Di sisi lain, pandangan seperti yang dipegang oleh ulama Malik dan Jumhur, memandang tenggat waktu yang diperpanjang sebagai Sunnah, menawarkan pendekatan yang lebih fleksibel dalam bantuan utang.</w:t>
      </w:r>
      <w:r w:rsidRPr="00392BCF">
        <w:rPr>
          <w:rStyle w:val="FootnoteReference"/>
          <w:rFonts w:asciiTheme="majorBidi" w:hAnsiTheme="majorBidi" w:cstheme="majorBidi"/>
          <w:shd w:val="clear" w:color="auto" w:fill="FFFFFF"/>
        </w:rPr>
        <w:footnoteReference w:id="58"/>
      </w:r>
      <w:r w:rsidRPr="00392BCF">
        <w:rPr>
          <w:rFonts w:asciiTheme="majorBidi" w:hAnsiTheme="majorBidi" w:cstheme="majorBidi"/>
          <w:shd w:val="clear" w:color="auto" w:fill="FFFFFF"/>
        </w:rPr>
        <w:t xml:space="preserve"> Memberikan bantuan di luar persyaratan hukum dianggap sebagai tindakan berbudi luhur, yang memperkuat penekanan Al-Quran pada sedekah dan dukungan sosial.</w:t>
      </w:r>
      <w:r w:rsidRPr="00392BCF">
        <w:rPr>
          <w:rStyle w:val="FootnoteReference"/>
          <w:rFonts w:asciiTheme="majorBidi" w:hAnsiTheme="majorBidi" w:cstheme="majorBidi"/>
          <w:shd w:val="clear" w:color="auto" w:fill="FFFFFF"/>
        </w:rPr>
        <w:footnoteReference w:id="59"/>
      </w:r>
      <w:r w:rsidRPr="00392BCF">
        <w:rPr>
          <w:rFonts w:asciiTheme="majorBidi" w:hAnsiTheme="majorBidi" w:cstheme="majorBidi"/>
          <w:shd w:val="clear" w:color="auto" w:fill="FFFFFF"/>
        </w:rPr>
        <w:t>Namun, perbedaan dalam interpretasi perintah ini dapat mengarah pada variasi praktik dalam etika keuangan dalam hukum Islam, menyoroti perlunya dialog dan pemahaman yang lebih mendalam mengenai penerapan prinsip-prinsip tersebut.</w:t>
      </w:r>
    </w:p>
    <w:p w14:paraId="2C0773C2" w14:textId="487D0863" w:rsidR="00E1517E" w:rsidRPr="00392BCF" w:rsidRDefault="00E1517E" w:rsidP="005875DA">
      <w:pPr>
        <w:widowControl w:val="0"/>
        <w:spacing w:after="120" w:line="240" w:lineRule="auto"/>
        <w:ind w:firstLine="709"/>
        <w:jc w:val="both"/>
        <w:rPr>
          <w:rFonts w:asciiTheme="majorBidi" w:hAnsiTheme="majorBidi" w:cstheme="majorBidi"/>
        </w:rPr>
      </w:pPr>
      <w:r w:rsidRPr="00392BCF">
        <w:rPr>
          <w:rFonts w:asciiTheme="majorBidi" w:hAnsiTheme="majorBidi" w:cstheme="majorBidi"/>
          <w:noProof/>
        </w:rPr>
        <mc:AlternateContent>
          <mc:Choice Requires="wps">
            <w:drawing>
              <wp:anchor distT="0" distB="0" distL="114300" distR="114300" simplePos="0" relativeHeight="251665408" behindDoc="0" locked="0" layoutInCell="1" allowOverlap="1" wp14:anchorId="37186C54" wp14:editId="3F00925B">
                <wp:simplePos x="0" y="0"/>
                <wp:positionH relativeFrom="column">
                  <wp:posOffset>2030095</wp:posOffset>
                </wp:positionH>
                <wp:positionV relativeFrom="paragraph">
                  <wp:posOffset>7466330</wp:posOffset>
                </wp:positionV>
                <wp:extent cx="746760" cy="5486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74676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139AEE8" id="Rectangle 5" o:spid="_x0000_s1026" style="position:absolute;margin-left:159.85pt;margin-top:587.9pt;width:58.8pt;height:4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" fillcolor="white [3212]" strokecolor="white [3212]" strokeweight="2pt"/>
            </w:pict>
          </mc:Fallback>
        </mc:AlternateContent>
      </w:r>
    </w:p>
    <w:p w14:paraId="051D1DA1" w14:textId="77777777" w:rsidR="003C6A26" w:rsidRPr="00392BCF" w:rsidRDefault="003C6A26" w:rsidP="005875DA">
      <w:pPr>
        <w:pStyle w:val="Heading3"/>
        <w:spacing w:after="120"/>
        <w:rPr>
          <w:rFonts w:asciiTheme="majorBidi" w:hAnsiTheme="majorBidi" w:cstheme="majorBidi"/>
        </w:rPr>
      </w:pPr>
      <w:r w:rsidRPr="00392BCF">
        <w:rPr>
          <w:rFonts w:asciiTheme="majorBidi" w:hAnsiTheme="majorBidi" w:cstheme="majorBidi"/>
        </w:rPr>
        <w:t>Kesimpulan</w:t>
      </w:r>
    </w:p>
    <w:p w14:paraId="49066368" w14:textId="77777777" w:rsidR="003C6A26" w:rsidRPr="00392BCF" w:rsidRDefault="003C6A26" w:rsidP="005875DA">
      <w:pPr>
        <w:pStyle w:val="NormalWeb"/>
        <w:spacing w:before="0" w:beforeAutospacing="0" w:after="120" w:afterAutospacing="0"/>
        <w:ind w:firstLine="709"/>
        <w:jc w:val="both"/>
        <w:rPr>
          <w:rFonts w:asciiTheme="majorBidi" w:hAnsiTheme="majorBidi" w:cstheme="majorBidi"/>
        </w:rPr>
      </w:pPr>
      <w:r w:rsidRPr="00392BCF">
        <w:rPr>
          <w:rFonts w:asciiTheme="majorBidi" w:hAnsiTheme="majorBidi" w:cstheme="majorBidi"/>
        </w:rPr>
        <w:t>Penelitian ini menyimpulkan bahwa variasi qirâ`ât dalam Surat Al-Baqarah ayat 280 menambah kedalaman dan kekayaan makna ayat, serta memberikan fleksibilitas dalam penerapan hukum hutang piutang dalam Islam. Meskipun terdapat perbedaan dalam interpretasi, prinsip dasar memberikan kelonggaran kepada orang yang kesulitan tetap menjadi pedoman utama yang disepakati oleh mayoritas ulama. Oleh karena itu, pemilik modal dianjurkan untuk bersikap empati dan memberikan bantuan kepada mereka yang berhutang sesuai dengan kemampuan mereka.</w:t>
      </w:r>
    </w:p>
    <w:p w14:paraId="15207649" w14:textId="77777777" w:rsidR="003C6A26" w:rsidRPr="00392BCF" w:rsidRDefault="003C6A26" w:rsidP="005875DA">
      <w:pPr>
        <w:pStyle w:val="NormalWeb"/>
        <w:spacing w:before="0" w:beforeAutospacing="0" w:after="120" w:afterAutospacing="0"/>
        <w:ind w:firstLine="709"/>
        <w:jc w:val="both"/>
        <w:rPr>
          <w:rFonts w:asciiTheme="majorBidi" w:hAnsiTheme="majorBidi" w:cstheme="majorBidi"/>
        </w:rPr>
      </w:pPr>
      <w:r w:rsidRPr="00392BCF">
        <w:rPr>
          <w:rFonts w:asciiTheme="majorBidi" w:hAnsiTheme="majorBidi" w:cstheme="majorBidi"/>
        </w:rPr>
        <w:t>Penelitian ini juga merekomendasikan agar para ulama dan praktisi hukum Islam mempertimbangkan berbagai qirâ`ât dalam memberikan fatwa dan panduan terkait hukum hutang piutang, serta mendorong umat Islam untuk mengutamakan nilai-nilai keadilan dan empati dalam kehidupan ekonomi dan sosial mereka.</w:t>
      </w:r>
    </w:p>
    <w:p w14:paraId="7FB792A1" w14:textId="62B913A0" w:rsidR="003C6A26" w:rsidRPr="00392BCF" w:rsidRDefault="003C6A26" w:rsidP="005875DA">
      <w:pPr>
        <w:widowControl w:val="0"/>
        <w:spacing w:after="120" w:line="240" w:lineRule="auto"/>
        <w:jc w:val="both"/>
        <w:rPr>
          <w:rFonts w:asciiTheme="majorBidi" w:hAnsiTheme="majorBidi" w:cstheme="majorBidi"/>
        </w:rPr>
      </w:pPr>
    </w:p>
    <w:p w14:paraId="24392EE6" w14:textId="40C8E83A" w:rsidR="003A6BAF" w:rsidRPr="00392BCF" w:rsidRDefault="003A6BAF" w:rsidP="005875DA">
      <w:pPr>
        <w:widowControl w:val="0"/>
        <w:spacing w:after="120" w:line="240" w:lineRule="auto"/>
        <w:jc w:val="both"/>
        <w:rPr>
          <w:rFonts w:asciiTheme="majorBidi" w:hAnsiTheme="majorBidi" w:cstheme="majorBidi"/>
          <w:b/>
          <w:bCs/>
          <w:lang w:val="id-ID"/>
        </w:rPr>
      </w:pPr>
      <w:r w:rsidRPr="00392BCF">
        <w:rPr>
          <w:rFonts w:asciiTheme="majorBidi" w:hAnsiTheme="majorBidi" w:cstheme="majorBidi"/>
          <w:b/>
          <w:bCs/>
          <w:lang w:val="id-ID"/>
        </w:rPr>
        <w:lastRenderedPageBreak/>
        <w:t>Daftar Pustaka</w:t>
      </w:r>
    </w:p>
    <w:p w14:paraId="6FEC023F"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fldChar w:fldCharType="begin"/>
      </w:r>
      <w:r w:rsidRPr="00D44C6C">
        <w:rPr>
          <w:rFonts w:asciiTheme="majorBidi" w:hAnsiTheme="majorBidi" w:cstheme="majorBidi"/>
          <w:lang w:val="id-ID"/>
        </w:rPr>
        <w:instrText xml:space="preserve"> ADDIN ZOTERO_BIBL {"uncited":[],"omitted":[],"custom":[]} CSL_BIBLIOGRAPHY </w:instrText>
      </w:r>
      <w:r w:rsidRPr="00D44C6C">
        <w:rPr>
          <w:rFonts w:asciiTheme="majorBidi" w:hAnsiTheme="majorBidi" w:cstheme="majorBidi"/>
        </w:rPr>
        <w:fldChar w:fldCharType="separate"/>
      </w:r>
      <w:r w:rsidRPr="00D44C6C">
        <w:rPr>
          <w:rFonts w:asciiTheme="majorBidi" w:hAnsiTheme="majorBidi" w:cstheme="majorBidi"/>
          <w:lang w:val="id-ID"/>
        </w:rPr>
        <w:t xml:space="preserve">Ab Aziz, Nur Sakiinah Binti, Mohamed Fathy Mohamed Abdelgelil, Mohd A’Tarahim Bin Mohd Razali, Hussein Ali Abdullah al-Thulaia, and Kasimah Kamaruddin. </w:t>
      </w:r>
      <w:r w:rsidRPr="00D44C6C">
        <w:rPr>
          <w:rFonts w:asciiTheme="majorBidi" w:hAnsiTheme="majorBidi" w:cstheme="majorBidi"/>
        </w:rPr>
        <w:t xml:space="preserve">‘Application of the Requirements in Qiraat Mutawatirah as a Method in Determining the Validity of Data in Islamic-Based Research Methodology’. </w:t>
      </w:r>
      <w:r w:rsidRPr="00D44C6C">
        <w:rPr>
          <w:rFonts w:asciiTheme="majorBidi" w:hAnsiTheme="majorBidi" w:cstheme="majorBidi"/>
          <w:i/>
          <w:iCs/>
        </w:rPr>
        <w:t>International Journal of Academic Research in Business and Social Sciences</w:t>
      </w:r>
      <w:r w:rsidRPr="00D44C6C">
        <w:rPr>
          <w:rFonts w:asciiTheme="majorBidi" w:hAnsiTheme="majorBidi" w:cstheme="majorBidi"/>
        </w:rPr>
        <w:t xml:space="preserve"> 10, no. 12 (29 November 2020): Pages 59-68. https://doi.org/10.6007/IJARBSS/v10-i12/8216.</w:t>
      </w:r>
    </w:p>
    <w:p w14:paraId="4C1F0E9E"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Abozaid, Abdulazeem. ‘</w:t>
      </w:r>
      <w:r w:rsidRPr="00D44C6C">
        <w:rPr>
          <w:rFonts w:asciiTheme="majorBidi" w:hAnsiTheme="majorBidi" w:cstheme="majorBidi"/>
          <w:rtl/>
        </w:rPr>
        <w:t>مراجعة مقاصدية لقضية الجمع بين العقود</w:t>
      </w:r>
      <w:r w:rsidRPr="00D44C6C">
        <w:rPr>
          <w:rFonts w:asciiTheme="majorBidi" w:hAnsiTheme="majorBidi" w:cstheme="majorBidi"/>
        </w:rPr>
        <w:t xml:space="preserve">’. </w:t>
      </w:r>
      <w:r w:rsidRPr="00D44C6C">
        <w:rPr>
          <w:rFonts w:asciiTheme="majorBidi" w:hAnsiTheme="majorBidi" w:cstheme="majorBidi"/>
          <w:i/>
          <w:iCs/>
        </w:rPr>
        <w:t>Journal of College of Sharia and Islamic Studies</w:t>
      </w:r>
      <w:r w:rsidRPr="00D44C6C">
        <w:rPr>
          <w:rFonts w:asciiTheme="majorBidi" w:hAnsiTheme="majorBidi" w:cstheme="majorBidi"/>
        </w:rPr>
        <w:t xml:space="preserve"> 40, no. 2 (12 May 2022). https://doi.org/10.29117/jcsis.2022.0336.</w:t>
      </w:r>
    </w:p>
    <w:p w14:paraId="5E80943F"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Abu-Hayyân, Muhammad ibn Yusuf Al Andalusi. </w:t>
      </w:r>
      <w:r w:rsidRPr="00D44C6C">
        <w:rPr>
          <w:rFonts w:asciiTheme="majorBidi" w:hAnsiTheme="majorBidi" w:cstheme="majorBidi"/>
          <w:i/>
          <w:iCs/>
        </w:rPr>
        <w:t>Al-Bahr Al-Muhîth</w:t>
      </w:r>
      <w:r w:rsidRPr="00D44C6C">
        <w:rPr>
          <w:rFonts w:asciiTheme="majorBidi" w:hAnsiTheme="majorBidi" w:cstheme="majorBidi"/>
        </w:rPr>
        <w:t>. Beirut: Dar al-Fikr, 1403.</w:t>
      </w:r>
    </w:p>
    <w:p w14:paraId="05C40E5B"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Alfi, Ahmad. ‘Qirā`At Shādhah Dalam Tafsir Syiah: Studi Term Nikah Mut’ah Dan Imam’. </w:t>
      </w:r>
      <w:r w:rsidRPr="00D44C6C">
        <w:rPr>
          <w:rFonts w:asciiTheme="majorBidi" w:hAnsiTheme="majorBidi" w:cstheme="majorBidi"/>
          <w:i/>
          <w:iCs/>
        </w:rPr>
        <w:t>AL ITQAN: Jurnal Studi Al-Qur’an</w:t>
      </w:r>
      <w:r w:rsidRPr="00D44C6C">
        <w:rPr>
          <w:rFonts w:asciiTheme="majorBidi" w:hAnsiTheme="majorBidi" w:cstheme="majorBidi"/>
        </w:rPr>
        <w:t xml:space="preserve"> 4, no. 1 (20 February 2018): 53–70. https://doi.org/10.47454/itqan.v4i1.679.</w:t>
      </w:r>
    </w:p>
    <w:p w14:paraId="4D6767E3"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Ali, Ihsan, Ismail Ahmedy, Abdullah Gani, Muhammad Umair Munir, and Mohammad Hossein Anisi. ‘Data Collection in Studies on Internet of Things (IoT), Wireless Sensor Networks (WSNs), and Sensor Cloud (SC): Similarities and Differences’. </w:t>
      </w:r>
      <w:r w:rsidRPr="00D44C6C">
        <w:rPr>
          <w:rFonts w:asciiTheme="majorBidi" w:hAnsiTheme="majorBidi" w:cstheme="majorBidi"/>
          <w:i/>
          <w:iCs/>
        </w:rPr>
        <w:t>IEEE Access</w:t>
      </w:r>
      <w:r w:rsidRPr="00D44C6C">
        <w:rPr>
          <w:rFonts w:asciiTheme="majorBidi" w:hAnsiTheme="majorBidi" w:cstheme="majorBidi"/>
        </w:rPr>
        <w:t xml:space="preserve"> 10 (2022): 33909–31. https://doi.org/10.1109/ACCESS.2022.3161929.</w:t>
      </w:r>
    </w:p>
    <w:p w14:paraId="13095D76"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Al-Râzi. </w:t>
      </w:r>
      <w:r w:rsidRPr="00D44C6C">
        <w:rPr>
          <w:rFonts w:asciiTheme="majorBidi" w:hAnsiTheme="majorBidi" w:cstheme="majorBidi"/>
          <w:i/>
          <w:iCs/>
        </w:rPr>
        <w:t>Mafâtîh Al-Ghaib</w:t>
      </w:r>
      <w:r w:rsidRPr="00D44C6C">
        <w:rPr>
          <w:rFonts w:asciiTheme="majorBidi" w:hAnsiTheme="majorBidi" w:cstheme="majorBidi"/>
        </w:rPr>
        <w:t>. Dâr al-Fikr, n.d.</w:t>
      </w:r>
    </w:p>
    <w:p w14:paraId="69534438"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Alyaafi, Muhammad, and Muhammad Raffi Andhera. ‘Riba Dalam Pandangan Al-Qur’an Dan Hadist’. </w:t>
      </w:r>
      <w:r w:rsidRPr="00D44C6C">
        <w:rPr>
          <w:rFonts w:asciiTheme="majorBidi" w:hAnsiTheme="majorBidi" w:cstheme="majorBidi"/>
          <w:i/>
          <w:iCs/>
        </w:rPr>
        <w:t>Jurnal Sosial Humaniora Sigli</w:t>
      </w:r>
      <w:r w:rsidRPr="00D44C6C">
        <w:rPr>
          <w:rFonts w:asciiTheme="majorBidi" w:hAnsiTheme="majorBidi" w:cstheme="majorBidi"/>
        </w:rPr>
        <w:t xml:space="preserve"> 6, no. 1 (26 June 2023). https://doi.org/10.47647/jsh.v6i1.1531.</w:t>
      </w:r>
    </w:p>
    <w:p w14:paraId="3A6CF5B4"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Andriani, Eva, Muhammad Asad Mubarok Al Jauhari, Syovinatus Sholicha, and Arifatul Ma’ani. ‘Maqashid Sharia, Business Ethics and Sharia Economic Transactions (A Review of the Hadith of the Prophet Muhammad)’. </w:t>
      </w:r>
      <w:r w:rsidRPr="00D44C6C">
        <w:rPr>
          <w:rFonts w:asciiTheme="majorBidi" w:hAnsiTheme="majorBidi" w:cstheme="majorBidi"/>
          <w:i/>
          <w:iCs/>
        </w:rPr>
        <w:t>International Journal of Economics (IJEC)</w:t>
      </w:r>
      <w:r w:rsidRPr="00D44C6C">
        <w:rPr>
          <w:rFonts w:asciiTheme="majorBidi" w:hAnsiTheme="majorBidi" w:cstheme="majorBidi"/>
        </w:rPr>
        <w:t xml:space="preserve"> 2, no. 1 (30 June 2023): 135–42. https://doi.org/10.55299/ijec.v2i1.427.</w:t>
      </w:r>
    </w:p>
    <w:p w14:paraId="011AE0AC" w14:textId="6A3BA153"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Arzam, Arzam. ‘Riba Dalam Perspektif Al-Qur’an Dan Hadis’. </w:t>
      </w:r>
      <w:r w:rsidRPr="00D44C6C">
        <w:rPr>
          <w:rFonts w:asciiTheme="majorBidi" w:hAnsiTheme="majorBidi" w:cstheme="majorBidi"/>
          <w:i/>
          <w:iCs/>
        </w:rPr>
        <w:t>Al-Qisthu: Jurnal Kajian Ilmu-Ilmu Hukum</w:t>
      </w:r>
      <w:r w:rsidRPr="00D44C6C">
        <w:rPr>
          <w:rFonts w:asciiTheme="majorBidi" w:hAnsiTheme="majorBidi" w:cstheme="majorBidi"/>
        </w:rPr>
        <w:t xml:space="preserve"> 6, no. 2 (22 February 2022): 60–78. https://doi.org/10.32694/qst.v6i2.1229.</w:t>
      </w:r>
    </w:p>
    <w:p w14:paraId="7F29D7A2"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‘Athiyyah, Ibnu. </w:t>
      </w:r>
      <w:r w:rsidRPr="00D44C6C">
        <w:rPr>
          <w:rFonts w:asciiTheme="majorBidi" w:hAnsiTheme="majorBidi" w:cstheme="majorBidi"/>
          <w:i/>
          <w:iCs/>
        </w:rPr>
        <w:t>Muharrar Al-Wajîz, Juz I</w:t>
      </w:r>
      <w:r w:rsidRPr="00D44C6C">
        <w:rPr>
          <w:rFonts w:asciiTheme="majorBidi" w:hAnsiTheme="majorBidi" w:cstheme="majorBidi"/>
        </w:rPr>
        <w:t>. Beirut: Dar al-Kutub al-‘Ilmiyah, 1422.</w:t>
      </w:r>
    </w:p>
    <w:p w14:paraId="0342680E"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Audina, Cut Widya, Nuraini Nuraini, and Abd Wahid. ‘Lafaz Mathar dan Ghaits dalam Al-Qur’an’. </w:t>
      </w:r>
      <w:r w:rsidRPr="00D44C6C">
        <w:rPr>
          <w:rFonts w:asciiTheme="majorBidi" w:hAnsiTheme="majorBidi" w:cstheme="majorBidi"/>
          <w:i/>
          <w:iCs/>
        </w:rPr>
        <w:t>TAFSE: Journal of Qur’anic Studies</w:t>
      </w:r>
      <w:r w:rsidRPr="00D44C6C">
        <w:rPr>
          <w:rFonts w:asciiTheme="majorBidi" w:hAnsiTheme="majorBidi" w:cstheme="majorBidi"/>
        </w:rPr>
        <w:t xml:space="preserve"> 4, no. 1 (30 June 2019): 67–83. https://doi.org/10.22373/tafse.v4i1.13098.</w:t>
      </w:r>
    </w:p>
    <w:p w14:paraId="259E8607"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Febra, Ghozi, Iril Admizal, and Suriyadi. ‘The Influence of Qira’at Variants in Interpretation Ayat-Ayat Al-Qur’an’. </w:t>
      </w:r>
      <w:r w:rsidRPr="00D44C6C">
        <w:rPr>
          <w:rFonts w:asciiTheme="majorBidi" w:hAnsiTheme="majorBidi" w:cstheme="majorBidi"/>
          <w:i/>
          <w:iCs/>
        </w:rPr>
        <w:t xml:space="preserve">Indonesia Journal of </w:t>
      </w:r>
      <w:r w:rsidRPr="00D44C6C">
        <w:rPr>
          <w:rFonts w:asciiTheme="majorBidi" w:hAnsiTheme="majorBidi" w:cstheme="majorBidi"/>
          <w:i/>
          <w:iCs/>
        </w:rPr>
        <w:lastRenderedPageBreak/>
        <w:t>Engineering and Education Technology (IJEET)</w:t>
      </w:r>
      <w:r w:rsidRPr="00D44C6C">
        <w:rPr>
          <w:rFonts w:asciiTheme="majorBidi" w:hAnsiTheme="majorBidi" w:cstheme="majorBidi"/>
        </w:rPr>
        <w:t xml:space="preserve"> 2, no. 2 (11 May 2024): 267–73. https://doi.org/10.61991/ijeet.v2i2.49.</w:t>
      </w:r>
    </w:p>
    <w:p w14:paraId="4D888313"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Gaol, Christopher Panal Lumban. ‘Normative Juridical Review Regarding Bank Interest in Islamic Law’. </w:t>
      </w:r>
      <w:r w:rsidRPr="00D44C6C">
        <w:rPr>
          <w:rFonts w:asciiTheme="majorBidi" w:hAnsiTheme="majorBidi" w:cstheme="majorBidi"/>
          <w:i/>
          <w:iCs/>
        </w:rPr>
        <w:t>Journal of Progressive Law and Legal Studies</w:t>
      </w:r>
      <w:r w:rsidRPr="00D44C6C">
        <w:rPr>
          <w:rFonts w:asciiTheme="majorBidi" w:hAnsiTheme="majorBidi" w:cstheme="majorBidi"/>
        </w:rPr>
        <w:t xml:space="preserve"> 1, no. 02 (21 May 2023): 66–74. https://doi.org/10.59653/jplls.v1i02.30.</w:t>
      </w:r>
    </w:p>
    <w:p w14:paraId="09195A28"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Giannakos, Michail. ‘Data Collection and Analysis in Learning Technology and CCI Research’. In </w:t>
      </w:r>
      <w:r w:rsidRPr="00D44C6C">
        <w:rPr>
          <w:rFonts w:asciiTheme="majorBidi" w:hAnsiTheme="majorBidi" w:cstheme="majorBidi"/>
          <w:i/>
          <w:iCs/>
        </w:rPr>
        <w:t>Experimental Studies in Learning Technology and Child–Computer Interaction</w:t>
      </w:r>
      <w:r w:rsidRPr="00D44C6C">
        <w:rPr>
          <w:rFonts w:asciiTheme="majorBidi" w:hAnsiTheme="majorBidi" w:cstheme="majorBidi"/>
        </w:rPr>
        <w:t>, edited by Michail Giannakos, 47–67. Cham: Springer International Publishing, 2022. https://doi.org/10.1007/978-3-031-14350-2_6.</w:t>
      </w:r>
    </w:p>
    <w:p w14:paraId="2CA45360"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Harisudin, M. N. ‘Ekonomi Sharah dan Ketidakadilan Kapitalisme Global’. </w:t>
      </w:r>
      <w:r w:rsidRPr="00D44C6C">
        <w:rPr>
          <w:rFonts w:asciiTheme="majorBidi" w:hAnsiTheme="majorBidi" w:cstheme="majorBidi"/>
          <w:i/>
          <w:iCs/>
        </w:rPr>
        <w:t>Islamica: Jurnal Studi Keislaman</w:t>
      </w:r>
      <w:r w:rsidRPr="00D44C6C">
        <w:rPr>
          <w:rFonts w:asciiTheme="majorBidi" w:hAnsiTheme="majorBidi" w:cstheme="majorBidi"/>
        </w:rPr>
        <w:t xml:space="preserve"> 5, no. 2 (1 March 2011): 234–44. https://doi.org/10.15642/islamica.2011.5.2.234-244.</w:t>
      </w:r>
    </w:p>
    <w:p w14:paraId="371F4F1C"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Ibnu-Khâlawaih, Hasan Ibn Ahmad. </w:t>
      </w:r>
      <w:r w:rsidRPr="00D44C6C">
        <w:rPr>
          <w:rFonts w:asciiTheme="majorBidi" w:hAnsiTheme="majorBidi" w:cstheme="majorBidi"/>
          <w:i/>
          <w:iCs/>
        </w:rPr>
        <w:t>Mukhtashar Fi Syawâdz Al-Qur’an Min Kitâb Al-Badî’</w:t>
      </w:r>
      <w:r w:rsidRPr="00D44C6C">
        <w:rPr>
          <w:rFonts w:asciiTheme="majorBidi" w:hAnsiTheme="majorBidi" w:cstheme="majorBidi"/>
        </w:rPr>
        <w:t>. Mesir: Mathba’ah Al-Rahmâniyyah, 1934.</w:t>
      </w:r>
    </w:p>
    <w:p w14:paraId="472AB8B8"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Izzah, Nurul, Nandang Ihwanudin, and Yayat Rahmat Hidayat. ‘Tinjauan Hukum Islam Terhadap Penerapan Pembayaran Royalti Buku’. </w:t>
      </w:r>
      <w:r w:rsidRPr="00D44C6C">
        <w:rPr>
          <w:rFonts w:asciiTheme="majorBidi" w:hAnsiTheme="majorBidi" w:cstheme="majorBidi"/>
          <w:i/>
          <w:iCs/>
        </w:rPr>
        <w:t>Bandung Conference Series: Sharia Economic Law</w:t>
      </w:r>
      <w:r w:rsidRPr="00D44C6C">
        <w:rPr>
          <w:rFonts w:asciiTheme="majorBidi" w:hAnsiTheme="majorBidi" w:cstheme="majorBidi"/>
        </w:rPr>
        <w:t xml:space="preserve"> 3, no. 1 (27 January 2023): 161–67. https://doi.org/10.29313/bcssel.v3i1.5599.</w:t>
      </w:r>
    </w:p>
    <w:p w14:paraId="4CFD32A0"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Kusuma, Mahendra, and Rosida Diani. ‘Qishash Diyat Dalam Hukum Pidana Islam Lebih Mencerminkan Keadilan Dari Sisi Korban’. </w:t>
      </w:r>
      <w:r w:rsidRPr="00D44C6C">
        <w:rPr>
          <w:rFonts w:asciiTheme="majorBidi" w:hAnsiTheme="majorBidi" w:cstheme="majorBidi"/>
          <w:i/>
          <w:iCs/>
        </w:rPr>
        <w:t>JURNAL DINAMIKA</w:t>
      </w:r>
      <w:r w:rsidRPr="00D44C6C">
        <w:rPr>
          <w:rFonts w:asciiTheme="majorBidi" w:hAnsiTheme="majorBidi" w:cstheme="majorBidi"/>
        </w:rPr>
        <w:t xml:space="preserve"> 2, no. 2 (31 December 2022): 45–54. https://doi.org/10.54895/dinamika.v2i2.1829.</w:t>
      </w:r>
    </w:p>
    <w:p w14:paraId="288BFE6A"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Melchert, Christopher. ‘The Variant Readings in Islamic Law’. </w:t>
      </w:r>
      <w:r w:rsidRPr="00D44C6C">
        <w:rPr>
          <w:rFonts w:asciiTheme="majorBidi" w:hAnsiTheme="majorBidi" w:cstheme="majorBidi"/>
          <w:i/>
          <w:iCs/>
        </w:rPr>
        <w:t>Journal of the International Qur’anic Studies Association</w:t>
      </w:r>
      <w:r w:rsidRPr="00D44C6C">
        <w:rPr>
          <w:rFonts w:asciiTheme="majorBidi" w:hAnsiTheme="majorBidi" w:cstheme="majorBidi"/>
        </w:rPr>
        <w:t xml:space="preserve"> 7, no. 1 (2022): 7–25. https://doi.org/10.5913/jiqsa.7.2022.a001.</w:t>
      </w:r>
    </w:p>
    <w:p w14:paraId="1DABFDA1"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Mohamed Abdelgelil, Mohamed Fathy, Muhammad Habib Abubakar, and Isyaku Hassan. ‘A Rhetorical Analysis of Informative, Interrogative, and Declarative Utterances in Tawjeeh al-Qira’at al-Mutawatirah’. </w:t>
      </w:r>
      <w:r w:rsidRPr="00D44C6C">
        <w:rPr>
          <w:rFonts w:asciiTheme="majorBidi" w:hAnsiTheme="majorBidi" w:cstheme="majorBidi"/>
          <w:i/>
          <w:iCs/>
        </w:rPr>
        <w:t>Revista EntreLinguas</w:t>
      </w:r>
      <w:r w:rsidRPr="00D44C6C">
        <w:rPr>
          <w:rFonts w:asciiTheme="majorBidi" w:hAnsiTheme="majorBidi" w:cstheme="majorBidi"/>
        </w:rPr>
        <w:t>, 30 December 2022, e022074. https://doi.org/10.29051/el.v8i00.17674.</w:t>
      </w:r>
    </w:p>
    <w:p w14:paraId="6A2DCA26"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Muhammad Kusnady Tabsir, Arfin Hamid, and Irwan Misbach. ‘Handling of Consumer Defaults at PT Adira Finance from the Perspective of Islamic Economics Ethics’. </w:t>
      </w:r>
      <w:r w:rsidRPr="00D44C6C">
        <w:rPr>
          <w:rFonts w:asciiTheme="majorBidi" w:hAnsiTheme="majorBidi" w:cstheme="majorBidi"/>
          <w:i/>
          <w:iCs/>
        </w:rPr>
        <w:t>Formosa Journal of Sustainable Research</w:t>
      </w:r>
      <w:r w:rsidRPr="00D44C6C">
        <w:rPr>
          <w:rFonts w:asciiTheme="majorBidi" w:hAnsiTheme="majorBidi" w:cstheme="majorBidi"/>
        </w:rPr>
        <w:t xml:space="preserve"> 2, no. 2 (27 February 2023): 299–310. https://doi.org/10.55927/fjsr.v2i2.3108.</w:t>
      </w:r>
    </w:p>
    <w:p w14:paraId="79B10AA3"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Mwita, Kelvin. ‘Factors to Consider When Choosing Data Collection Methods’. </w:t>
      </w:r>
      <w:r w:rsidRPr="00D44C6C">
        <w:rPr>
          <w:rFonts w:asciiTheme="majorBidi" w:hAnsiTheme="majorBidi" w:cstheme="majorBidi"/>
          <w:i/>
          <w:iCs/>
        </w:rPr>
        <w:t>International Journal of Research in Business and Social Science (2147- 4478)</w:t>
      </w:r>
      <w:r w:rsidRPr="00D44C6C">
        <w:rPr>
          <w:rFonts w:asciiTheme="majorBidi" w:hAnsiTheme="majorBidi" w:cstheme="majorBidi"/>
        </w:rPr>
        <w:t xml:space="preserve"> 11, no. 5 (29 June 2022): 532–38. https://doi.org/10.20525/ijrbs.v11i5.1842.</w:t>
      </w:r>
    </w:p>
    <w:p w14:paraId="17F21291"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lastRenderedPageBreak/>
        <w:t xml:space="preserve">Nabi, Hassan Abdulla, and Hashem Ismail Ibrahim. ‘The Islamic Approach to Preventing Corruption in Financial Transactions’. </w:t>
      </w:r>
      <w:r w:rsidRPr="00D44C6C">
        <w:rPr>
          <w:rFonts w:asciiTheme="majorBidi" w:hAnsiTheme="majorBidi" w:cstheme="majorBidi"/>
          <w:i/>
          <w:iCs/>
        </w:rPr>
        <w:t>Journal of University of Raparin</w:t>
      </w:r>
      <w:r w:rsidRPr="00D44C6C">
        <w:rPr>
          <w:rFonts w:asciiTheme="majorBidi" w:hAnsiTheme="majorBidi" w:cstheme="majorBidi"/>
        </w:rPr>
        <w:t xml:space="preserve"> 9, no. 4 (29 September 2022): 485–512. https://doi.org/10.26750/</w:t>
      </w:r>
      <w:proofErr w:type="gramStart"/>
      <w:r w:rsidRPr="00D44C6C">
        <w:rPr>
          <w:rFonts w:asciiTheme="majorBidi" w:hAnsiTheme="majorBidi" w:cstheme="majorBidi"/>
        </w:rPr>
        <w:t>Vol(</w:t>
      </w:r>
      <w:proofErr w:type="gramEnd"/>
      <w:r w:rsidRPr="00D44C6C">
        <w:rPr>
          <w:rFonts w:asciiTheme="majorBidi" w:hAnsiTheme="majorBidi" w:cstheme="majorBidi"/>
        </w:rPr>
        <w:t>9).No(4).Paper21.</w:t>
      </w:r>
    </w:p>
    <w:p w14:paraId="3CBF0830"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Nurhasanah, Tatik. ‘Mengenal Riba Dalam Etika Ekonomi Islam’. </w:t>
      </w:r>
      <w:r w:rsidRPr="00D44C6C">
        <w:rPr>
          <w:rFonts w:asciiTheme="majorBidi" w:hAnsiTheme="majorBidi" w:cstheme="majorBidi"/>
          <w:i/>
          <w:iCs/>
        </w:rPr>
        <w:t>J-MAS (Jurnal Manajemen Dan Sains)</w:t>
      </w:r>
      <w:r w:rsidRPr="00D44C6C">
        <w:rPr>
          <w:rFonts w:asciiTheme="majorBidi" w:hAnsiTheme="majorBidi" w:cstheme="majorBidi"/>
        </w:rPr>
        <w:t xml:space="preserve"> 8, no. 1 (29 April 2023): 164–69. https://doi.org/10.33087/jmas.v8i1.940.</w:t>
      </w:r>
    </w:p>
    <w:p w14:paraId="07A9E62B"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Oyarhoseyn, Hoda, and Younes Karamati. ‘The Persian Redaction of ‘Alā’ī Maghribī’s Taqwīm al-’Adwīyah and Its Parallel Texts’. </w:t>
      </w:r>
      <w:r w:rsidRPr="00D44C6C">
        <w:rPr>
          <w:rFonts w:asciiTheme="majorBidi" w:hAnsiTheme="majorBidi" w:cstheme="majorBidi"/>
          <w:i/>
          <w:iCs/>
        </w:rPr>
        <w:t>A Quarterly Journal of Historical Studies of Islam</w:t>
      </w:r>
      <w:r w:rsidRPr="00D44C6C">
        <w:rPr>
          <w:rFonts w:asciiTheme="majorBidi" w:hAnsiTheme="majorBidi" w:cstheme="majorBidi"/>
        </w:rPr>
        <w:t xml:space="preserve"> 14, no. 53 (10 July 2022): 5–29. https://doi.org/10.52547/pte.14.53.5.</w:t>
      </w:r>
    </w:p>
    <w:p w14:paraId="1BEFB319"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Pahsyah, Hijratul, Sri Endah, and Anis Mashdurohatun. ‘Reconstruction of Bankruptcy Regulations and Suspension of Debt Payment Obligations Based on Islamic Legal Values’. </w:t>
      </w:r>
      <w:r w:rsidRPr="00D44C6C">
        <w:rPr>
          <w:rFonts w:asciiTheme="majorBidi" w:hAnsiTheme="majorBidi" w:cstheme="majorBidi"/>
          <w:i/>
          <w:iCs/>
        </w:rPr>
        <w:t>Journal of Social Research</w:t>
      </w:r>
      <w:r w:rsidRPr="00D44C6C">
        <w:rPr>
          <w:rFonts w:asciiTheme="majorBidi" w:hAnsiTheme="majorBidi" w:cstheme="majorBidi"/>
        </w:rPr>
        <w:t xml:space="preserve"> 2, no. 5 (19 April 2023): 1583–90. https://doi.org/10.55324/josr.v2i5.859.</w:t>
      </w:r>
    </w:p>
    <w:p w14:paraId="55B697C1"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Pane, Ramadhan Siddik, and Sawaluddin Siregar. ‘Qiyas Sebagai Konstitusi Keempat Dalam Islam: Implementasi Qiyas Dalam Konteks Siyasah’. </w:t>
      </w:r>
      <w:r w:rsidRPr="00D44C6C">
        <w:rPr>
          <w:rFonts w:asciiTheme="majorBidi" w:hAnsiTheme="majorBidi" w:cstheme="majorBidi"/>
          <w:i/>
          <w:iCs/>
        </w:rPr>
        <w:t>Jurnal EL-QANUNIY: Jurnal Ilmu-Ilmu Kesyariahan Dan Pranata Sosial</w:t>
      </w:r>
      <w:r w:rsidRPr="00D44C6C">
        <w:rPr>
          <w:rFonts w:asciiTheme="majorBidi" w:hAnsiTheme="majorBidi" w:cstheme="majorBidi"/>
        </w:rPr>
        <w:t xml:space="preserve"> 8, no. 2 (2022): 153–206. https://doi.org/10.24952/el-qanuniy.v8i2.6224.</w:t>
      </w:r>
    </w:p>
    <w:p w14:paraId="58E8A080"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Pratama, Apryan Anggara. ‘Status Utang Apabila Pemilik Utang Meninggal Dunia Ditinjau Dari Hukum Islam Dan Peraturan Perundang-Undangan’. </w:t>
      </w:r>
      <w:r w:rsidRPr="00D44C6C">
        <w:rPr>
          <w:rFonts w:asciiTheme="majorBidi" w:hAnsiTheme="majorBidi" w:cstheme="majorBidi"/>
          <w:i/>
          <w:iCs/>
        </w:rPr>
        <w:t>Jurnal Hukum Magnum Opus</w:t>
      </w:r>
      <w:r w:rsidRPr="00D44C6C">
        <w:rPr>
          <w:rFonts w:asciiTheme="majorBidi" w:hAnsiTheme="majorBidi" w:cstheme="majorBidi"/>
        </w:rPr>
        <w:t xml:space="preserve"> 6, no. 1 (23 February 2023): 37–46. https://doi.org/10.30996/jhmo.v6i1.7437.</w:t>
      </w:r>
    </w:p>
    <w:p w14:paraId="27B4951C"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Purba, Julhaidir, and Dhiauddin Tanjung. ‘Kebutuhan Multi Akad Dalam Transaksi Ekonomi Muamalah; Analisis Maqashid Syariah’. </w:t>
      </w:r>
      <w:r w:rsidRPr="00D44C6C">
        <w:rPr>
          <w:rFonts w:asciiTheme="majorBidi" w:hAnsiTheme="majorBidi" w:cstheme="majorBidi"/>
          <w:i/>
          <w:iCs/>
        </w:rPr>
        <w:t>Al-’`Adalah : Jurnal Syariah Dan Hukum Islam</w:t>
      </w:r>
      <w:r w:rsidRPr="00D44C6C">
        <w:rPr>
          <w:rFonts w:asciiTheme="majorBidi" w:hAnsiTheme="majorBidi" w:cstheme="majorBidi"/>
        </w:rPr>
        <w:t xml:space="preserve"> 8, no. 1 (28 June 2023): 65–82. https://doi.org/10.31538/adlh.v8i1.3315.</w:t>
      </w:r>
    </w:p>
    <w:p w14:paraId="55C91F39" w14:textId="3873159D"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Putra, Dedisyah. ‘Akad Hutang Piutang Petani Padi Dengan Pemilik Pabrik Penggiling Pada Masyarakat Panyabungan Tonga Ditinjau Dari Hukum Islam’. </w:t>
      </w:r>
      <w:r w:rsidRPr="00D44C6C">
        <w:rPr>
          <w:rFonts w:asciiTheme="majorBidi" w:hAnsiTheme="majorBidi" w:cstheme="majorBidi"/>
          <w:i/>
          <w:iCs/>
        </w:rPr>
        <w:t>El-Ahli : Jurnal Hukum Keluarga Islam</w:t>
      </w:r>
      <w:r w:rsidRPr="00D44C6C">
        <w:rPr>
          <w:rFonts w:asciiTheme="majorBidi" w:hAnsiTheme="majorBidi" w:cstheme="majorBidi"/>
        </w:rPr>
        <w:t xml:space="preserve"> 3, no. 2 (28 December 2022): 194–210. https://doi.org/10.56874/el-ahli.v3i2.961.</w:t>
      </w:r>
    </w:p>
    <w:p w14:paraId="1FBFB58F"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Saad, Mohd Faizulamri Mohd, Sabri Mohamad, Nurul Asma Mazlan, Nur Zainatul Nadra Zainol, and Afrizal Nur. ‘Criticism towards Quranic Text with Mutawatir Status’. </w:t>
      </w:r>
      <w:r w:rsidRPr="00D44C6C">
        <w:rPr>
          <w:rFonts w:asciiTheme="majorBidi" w:hAnsiTheme="majorBidi" w:cstheme="majorBidi"/>
          <w:i/>
          <w:iCs/>
        </w:rPr>
        <w:t>International Journal of Academic Research in Business and Social Sciences</w:t>
      </w:r>
      <w:r w:rsidRPr="00D44C6C">
        <w:rPr>
          <w:rFonts w:asciiTheme="majorBidi" w:hAnsiTheme="majorBidi" w:cstheme="majorBidi"/>
        </w:rPr>
        <w:t xml:space="preserve"> 12, no. 7 (15 July 2022): 880–88.</w:t>
      </w:r>
    </w:p>
    <w:p w14:paraId="18A4FF5A"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Saiddaeni, Saiddaeni. ‘Meninjau Kembali Definisi Riba Era Modern, Pinjaman Uang Kartal (FIAT) Perspektif Studi Islam Fiqih Kontemporer’. </w:t>
      </w:r>
      <w:r w:rsidRPr="00D44C6C">
        <w:rPr>
          <w:rFonts w:asciiTheme="majorBidi" w:hAnsiTheme="majorBidi" w:cstheme="majorBidi"/>
          <w:i/>
          <w:iCs/>
        </w:rPr>
        <w:t>Madinah: Jurnal Studi Islam</w:t>
      </w:r>
      <w:r w:rsidRPr="00D44C6C">
        <w:rPr>
          <w:rFonts w:asciiTheme="majorBidi" w:hAnsiTheme="majorBidi" w:cstheme="majorBidi"/>
        </w:rPr>
        <w:t xml:space="preserve"> 10, no. 1 (12 June 2023): 58–69. https://doi.org/10.58518/madinah.v10i1.1549.</w:t>
      </w:r>
    </w:p>
    <w:p w14:paraId="0CE4CF5A"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lastRenderedPageBreak/>
        <w:t xml:space="preserve">Sainul, Ahmad. ‘Konsep Hak Milik Dalam Islam’. </w:t>
      </w:r>
      <w:r w:rsidRPr="00D44C6C">
        <w:rPr>
          <w:rFonts w:asciiTheme="majorBidi" w:hAnsiTheme="majorBidi" w:cstheme="majorBidi"/>
          <w:i/>
          <w:iCs/>
        </w:rPr>
        <w:t>Jurnal Al-Maqasid: Jurnal Ilmu-Ilmu Kesyariahan dan Keperdataan</w:t>
      </w:r>
      <w:r w:rsidRPr="00D44C6C">
        <w:rPr>
          <w:rFonts w:asciiTheme="majorBidi" w:hAnsiTheme="majorBidi" w:cstheme="majorBidi"/>
        </w:rPr>
        <w:t xml:space="preserve"> 6, no. 2 (2020): 196–208.</w:t>
      </w:r>
    </w:p>
    <w:p w14:paraId="40F37741"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Sari, Eva Puspita, and Evi Kongres. ‘Kepastian Hukum Terhadap Proses PKPU Pasca Putusan Mahkamah Konstitusi Nomor 23/PUU-XIX/2021’. </w:t>
      </w:r>
      <w:r w:rsidRPr="00D44C6C">
        <w:rPr>
          <w:rFonts w:asciiTheme="majorBidi" w:hAnsiTheme="majorBidi" w:cstheme="majorBidi"/>
          <w:i/>
          <w:iCs/>
        </w:rPr>
        <w:t>Jurnal Hukum Magnum Opus</w:t>
      </w:r>
      <w:r w:rsidRPr="00D44C6C">
        <w:rPr>
          <w:rFonts w:asciiTheme="majorBidi" w:hAnsiTheme="majorBidi" w:cstheme="majorBidi"/>
        </w:rPr>
        <w:t xml:space="preserve"> 6, no. 1 (23 February 2023): 1–13. https://doi.org/10.30996/jhmo.v6i1.7391.</w:t>
      </w:r>
    </w:p>
    <w:p w14:paraId="5732BDFF"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SRIANI, M. H. ‘Violation of Human Right for Collateral Fraud in Sharia Financial Institution Based on Fiduciary Guaranty Law and Rahn Law’, 2023. http://e-repository.perpus.uinsalatiga.ac.id/17156/.</w:t>
      </w:r>
    </w:p>
    <w:p w14:paraId="50AFC11E"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Sumanto, Hamzah Rojulul Ghodi Assyarif, Andri Nirwana </w:t>
      </w:r>
      <w:proofErr w:type="gramStart"/>
      <w:r w:rsidRPr="00D44C6C">
        <w:rPr>
          <w:rFonts w:asciiTheme="majorBidi" w:hAnsiTheme="majorBidi" w:cstheme="majorBidi"/>
        </w:rPr>
        <w:t>An</w:t>
      </w:r>
      <w:proofErr w:type="gramEnd"/>
      <w:r w:rsidRPr="00D44C6C">
        <w:rPr>
          <w:rFonts w:asciiTheme="majorBidi" w:hAnsiTheme="majorBidi" w:cstheme="majorBidi"/>
        </w:rPr>
        <w:t xml:space="preserve">, and Muchammad Ichsan. ‘Does the MUI Fatwa on Multi Contracts Causes Gharar?’ </w:t>
      </w:r>
      <w:r w:rsidRPr="00D44C6C">
        <w:rPr>
          <w:rFonts w:asciiTheme="majorBidi" w:hAnsiTheme="majorBidi" w:cstheme="majorBidi"/>
          <w:i/>
          <w:iCs/>
        </w:rPr>
        <w:t>Tazkia Islamic Finance and Business Review</w:t>
      </w:r>
      <w:r w:rsidRPr="00D44C6C">
        <w:rPr>
          <w:rFonts w:asciiTheme="majorBidi" w:hAnsiTheme="majorBidi" w:cstheme="majorBidi"/>
        </w:rPr>
        <w:t xml:space="preserve"> 16, no. 2 (2022). https://doi.org/10.30993/tifbr.v16i2.294.</w:t>
      </w:r>
    </w:p>
    <w:p w14:paraId="019081CE"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Syarief, Ghilman Nursidin. ‘Metode Dan Corak Penafsiran Al-Qur’an’, 2019. https://www.semanticscholar.org/paper/Metode-dan-Corak-Penafsiran-al-Qur%E2%80%99an-Syarief/f97b0ec221cf8d545f9df6e90fcc456aa1fa3a16.</w:t>
      </w:r>
    </w:p>
    <w:p w14:paraId="1FD07083"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Syukkur, Abdul. ‘Gambaran Pelaku Riba Perspektif Al-Qur’an’. </w:t>
      </w:r>
      <w:r w:rsidRPr="00D44C6C">
        <w:rPr>
          <w:rFonts w:asciiTheme="majorBidi" w:hAnsiTheme="majorBidi" w:cstheme="majorBidi"/>
          <w:i/>
          <w:iCs/>
        </w:rPr>
        <w:t>El-Furqania : Jurnal Ushuluddin Dan Ilmu-Ilmu Keislaman</w:t>
      </w:r>
      <w:r w:rsidRPr="00D44C6C">
        <w:rPr>
          <w:rFonts w:asciiTheme="majorBidi" w:hAnsiTheme="majorBidi" w:cstheme="majorBidi"/>
        </w:rPr>
        <w:t xml:space="preserve"> 9, no. 1 (16 May 2023): 37–49.</w:t>
      </w:r>
    </w:p>
    <w:p w14:paraId="1A791FAB"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Tobing, Dita Rusiani L., and Zulfan Efendi Hasibuan. ‘Konseptualisasi Kompilasi Hukum Ekonomi Syariah Terhadap Praktik Hutang Piutang Antara Toke Ikan Dengan Nelayan’. </w:t>
      </w:r>
      <w:r w:rsidRPr="00D44C6C">
        <w:rPr>
          <w:rFonts w:asciiTheme="majorBidi" w:hAnsiTheme="majorBidi" w:cstheme="majorBidi"/>
          <w:i/>
          <w:iCs/>
        </w:rPr>
        <w:t>Jurnal El-Thawalib</w:t>
      </w:r>
      <w:r w:rsidRPr="00D44C6C">
        <w:rPr>
          <w:rFonts w:asciiTheme="majorBidi" w:hAnsiTheme="majorBidi" w:cstheme="majorBidi"/>
        </w:rPr>
        <w:t xml:space="preserve"> 3, no. 5 (31 October 2022): 833–45. https://doi.org/10.24952/el-thawalib.v3i5.6201.</w:t>
      </w:r>
    </w:p>
    <w:p w14:paraId="33C0AC71" w14:textId="0652FAAE"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Tumiwa, Krueger, Rüdiger Lohlker, and Telsy Samad. ‘The Discourse </w:t>
      </w:r>
      <w:proofErr w:type="gramStart"/>
      <w:r w:rsidRPr="00D44C6C">
        <w:rPr>
          <w:rFonts w:asciiTheme="majorBidi" w:hAnsiTheme="majorBidi" w:cstheme="majorBidi"/>
        </w:rPr>
        <w:t>Of</w:t>
      </w:r>
      <w:proofErr w:type="gramEnd"/>
      <w:r w:rsidRPr="00D44C6C">
        <w:rPr>
          <w:rFonts w:asciiTheme="majorBidi" w:hAnsiTheme="majorBidi" w:cstheme="majorBidi"/>
        </w:rPr>
        <w:t xml:space="preserve"> Usury In The Views Of Islam And Christianity’. </w:t>
      </w:r>
      <w:r w:rsidRPr="00D44C6C">
        <w:rPr>
          <w:rFonts w:asciiTheme="majorBidi" w:hAnsiTheme="majorBidi" w:cstheme="majorBidi"/>
          <w:i/>
          <w:iCs/>
        </w:rPr>
        <w:t>Tasharruf: Journal Economics and Business of Islam</w:t>
      </w:r>
      <w:r w:rsidRPr="00D44C6C">
        <w:rPr>
          <w:rFonts w:asciiTheme="majorBidi" w:hAnsiTheme="majorBidi" w:cstheme="majorBidi"/>
        </w:rPr>
        <w:t xml:space="preserve"> 7, no. 2 (31 December 2022): 185–97. https://doi.org/10.30984/tjebi.v7i2.2314.</w:t>
      </w:r>
    </w:p>
    <w:p w14:paraId="01A4278F" w14:textId="309F96D9"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Vianti, Nur. ‘Implementation </w:t>
      </w:r>
      <w:proofErr w:type="gramStart"/>
      <w:r w:rsidRPr="00D44C6C">
        <w:rPr>
          <w:rFonts w:asciiTheme="majorBidi" w:hAnsiTheme="majorBidi" w:cstheme="majorBidi"/>
        </w:rPr>
        <w:t>Of</w:t>
      </w:r>
      <w:proofErr w:type="gramEnd"/>
      <w:r w:rsidRPr="00D44C6C">
        <w:rPr>
          <w:rFonts w:asciiTheme="majorBidi" w:hAnsiTheme="majorBidi" w:cstheme="majorBidi"/>
        </w:rPr>
        <w:t xml:space="preserve"> The Hiwalah Academic In Social Environment And Sharia Financial Institutions’. </w:t>
      </w:r>
      <w:r w:rsidRPr="00D44C6C">
        <w:rPr>
          <w:rFonts w:asciiTheme="majorBidi" w:hAnsiTheme="majorBidi" w:cstheme="majorBidi"/>
          <w:i/>
          <w:iCs/>
        </w:rPr>
        <w:t>Morfai Journal</w:t>
      </w:r>
      <w:r w:rsidRPr="00D44C6C">
        <w:rPr>
          <w:rFonts w:asciiTheme="majorBidi" w:hAnsiTheme="majorBidi" w:cstheme="majorBidi"/>
        </w:rPr>
        <w:t xml:space="preserve"> 3, no. 2 (21 April 2023): 196–206. https://doi.org/10.54443/morfai.v3i2.851.</w:t>
      </w:r>
    </w:p>
    <w:p w14:paraId="118E5322"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Wahyudi, Ahmad Ilham, Muhammad Rizqi Manarul Haq, and Hasani Ahmad Said. ‘The Richness </w:t>
      </w:r>
      <w:proofErr w:type="gramStart"/>
      <w:r w:rsidRPr="00D44C6C">
        <w:rPr>
          <w:rFonts w:asciiTheme="majorBidi" w:hAnsiTheme="majorBidi" w:cstheme="majorBidi"/>
        </w:rPr>
        <w:t>Of</w:t>
      </w:r>
      <w:proofErr w:type="gramEnd"/>
      <w:r w:rsidRPr="00D44C6C">
        <w:rPr>
          <w:rFonts w:asciiTheme="majorBidi" w:hAnsiTheme="majorBidi" w:cstheme="majorBidi"/>
        </w:rPr>
        <w:t xml:space="preserve"> Tafsir Al-Qur’an: Methods In Interpreting The Verses Of The Qur’an’. </w:t>
      </w:r>
      <w:r w:rsidRPr="00D44C6C">
        <w:rPr>
          <w:rFonts w:asciiTheme="majorBidi" w:hAnsiTheme="majorBidi" w:cstheme="majorBidi"/>
          <w:i/>
          <w:iCs/>
        </w:rPr>
        <w:t>Hunafa: Jurnal Studia Islamika</w:t>
      </w:r>
      <w:r w:rsidRPr="00D44C6C">
        <w:rPr>
          <w:rFonts w:asciiTheme="majorBidi" w:hAnsiTheme="majorBidi" w:cstheme="majorBidi"/>
        </w:rPr>
        <w:t xml:space="preserve"> 20, no. 1 (20 June 2023): 155–78. https://doi.org/10.24239/jsi.v20i1.690.155-178.</w:t>
      </w:r>
    </w:p>
    <w:p w14:paraId="1C1807B3"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Yuristian, Angga. ‘Hak Kreditor Separatis Dalam Mengeksekusi Jaminan Kebendaan Dari Debitor Pailit Yang Berasal Dari PKPU’. </w:t>
      </w:r>
      <w:r w:rsidRPr="00D44C6C">
        <w:rPr>
          <w:rFonts w:asciiTheme="majorBidi" w:hAnsiTheme="majorBidi" w:cstheme="majorBidi"/>
          <w:i/>
          <w:iCs/>
        </w:rPr>
        <w:t>Jurist-Diction</w:t>
      </w:r>
      <w:r w:rsidRPr="00D44C6C">
        <w:rPr>
          <w:rFonts w:asciiTheme="majorBidi" w:hAnsiTheme="majorBidi" w:cstheme="majorBidi"/>
        </w:rPr>
        <w:t xml:space="preserve"> 5, no. 6 (30 November 2022): 2051–68. https://doi.org/10.20473/jd.v5i6.40066.</w:t>
      </w:r>
    </w:p>
    <w:p w14:paraId="60EC182C"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Zamakhsyari, Abu al-Qasim Mahmud ibn Amr ibn Ahmad al-. </w:t>
      </w:r>
      <w:r w:rsidRPr="00D44C6C">
        <w:rPr>
          <w:rFonts w:asciiTheme="majorBidi" w:hAnsiTheme="majorBidi" w:cstheme="majorBidi"/>
          <w:i/>
          <w:iCs/>
        </w:rPr>
        <w:t>Al-Kasyasyaf ’</w:t>
      </w:r>
      <w:proofErr w:type="gramStart"/>
      <w:r w:rsidRPr="00D44C6C">
        <w:rPr>
          <w:rFonts w:asciiTheme="majorBidi" w:hAnsiTheme="majorBidi" w:cstheme="majorBidi"/>
          <w:i/>
          <w:iCs/>
        </w:rPr>
        <w:t>an</w:t>
      </w:r>
      <w:proofErr w:type="gramEnd"/>
      <w:r w:rsidRPr="00D44C6C">
        <w:rPr>
          <w:rFonts w:asciiTheme="majorBidi" w:hAnsiTheme="majorBidi" w:cstheme="majorBidi"/>
          <w:i/>
          <w:iCs/>
        </w:rPr>
        <w:t xml:space="preserve"> Haqaiq al Tanzil Wa ’Uyun al-Qawail</w:t>
      </w:r>
      <w:r w:rsidRPr="00D44C6C">
        <w:rPr>
          <w:rFonts w:asciiTheme="majorBidi" w:hAnsiTheme="majorBidi" w:cstheme="majorBidi"/>
        </w:rPr>
        <w:t>. Bairut: Dar al-Ma-’arif, n.d.</w:t>
      </w:r>
    </w:p>
    <w:p w14:paraId="5C682806"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lastRenderedPageBreak/>
        <w:t xml:space="preserve">Zaman, Asad. ‘Islamic Economics: A Survey of the Literature: I’. </w:t>
      </w:r>
      <w:r w:rsidRPr="00D44C6C">
        <w:rPr>
          <w:rFonts w:asciiTheme="majorBidi" w:hAnsiTheme="majorBidi" w:cstheme="majorBidi"/>
          <w:i/>
          <w:iCs/>
        </w:rPr>
        <w:t>Islamic Studies</w:t>
      </w:r>
      <w:r w:rsidRPr="00D44C6C">
        <w:rPr>
          <w:rFonts w:asciiTheme="majorBidi" w:hAnsiTheme="majorBidi" w:cstheme="majorBidi"/>
        </w:rPr>
        <w:t xml:space="preserve"> 48, no. 3 (2009): 395–424.</w:t>
      </w:r>
    </w:p>
    <w:p w14:paraId="22D4586E" w14:textId="77777777" w:rsidR="00D44C6C" w:rsidRPr="00D44C6C" w:rsidRDefault="00D44C6C" w:rsidP="00D44C6C">
      <w:pPr>
        <w:pStyle w:val="Bibliography"/>
        <w:jc w:val="lowKashida"/>
        <w:rPr>
          <w:rFonts w:asciiTheme="majorBidi" w:hAnsiTheme="majorBidi" w:cstheme="majorBidi"/>
        </w:rPr>
      </w:pPr>
      <w:r w:rsidRPr="00D44C6C">
        <w:rPr>
          <w:rFonts w:asciiTheme="majorBidi" w:hAnsiTheme="majorBidi" w:cstheme="majorBidi"/>
        </w:rPr>
        <w:t xml:space="preserve">Zubaidi, Ahmad. ‘Application of Qordh, Ijarah and Wakalah Bil Ujrah in Aqad Financing on Financial Tehcnology’. </w:t>
      </w:r>
      <w:r w:rsidRPr="00D44C6C">
        <w:rPr>
          <w:rFonts w:asciiTheme="majorBidi" w:hAnsiTheme="majorBidi" w:cstheme="majorBidi"/>
          <w:i/>
          <w:iCs/>
        </w:rPr>
        <w:t>Al-Risalah : Jurnal Studi Agama Dan Pemikiran Islam</w:t>
      </w:r>
      <w:r w:rsidRPr="00D44C6C">
        <w:rPr>
          <w:rFonts w:asciiTheme="majorBidi" w:hAnsiTheme="majorBidi" w:cstheme="majorBidi"/>
        </w:rPr>
        <w:t xml:space="preserve"> 13, no. 1 (2022): 1–15. https://doi.org/10.34005/alrisalah.v13i1.1716.</w:t>
      </w:r>
    </w:p>
    <w:p w14:paraId="7681C0A9" w14:textId="12A45FDC" w:rsidR="003A6BAF" w:rsidRPr="00392BCF" w:rsidRDefault="00D44C6C" w:rsidP="00D44C6C">
      <w:pPr>
        <w:spacing w:after="0" w:line="240" w:lineRule="auto"/>
        <w:ind w:left="709" w:hanging="709"/>
        <w:jc w:val="lowKashida"/>
      </w:pPr>
      <w:r w:rsidRPr="00D44C6C">
        <w:rPr>
          <w:rFonts w:asciiTheme="majorBidi" w:hAnsiTheme="majorBidi" w:cstheme="majorBidi"/>
        </w:rPr>
        <w:fldChar w:fldCharType="end"/>
      </w:r>
    </w:p>
    <w:sectPr w:rsidR="003A6BAF" w:rsidRPr="00392BCF" w:rsidSect="00A63141">
      <w:footerReference w:type="default" r:id="rId8"/>
      <w:footnotePr>
        <w:numRestart w:val="eachSect"/>
      </w:footnotePr>
      <w:pgSz w:w="10319" w:h="14571" w:code="13"/>
      <w:pgMar w:top="1418" w:right="1531" w:bottom="1418"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3B4BF" w14:textId="77777777" w:rsidR="009E2BED" w:rsidRDefault="009E2BED" w:rsidP="003438D7">
      <w:pPr>
        <w:spacing w:after="0" w:line="240" w:lineRule="auto"/>
      </w:pPr>
      <w:r>
        <w:separator/>
      </w:r>
    </w:p>
  </w:endnote>
  <w:endnote w:type="continuationSeparator" w:id="0">
    <w:p w14:paraId="536461EE" w14:textId="77777777" w:rsidR="009E2BED" w:rsidRDefault="009E2BED" w:rsidP="0034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Garamond Pro">
    <w:panose1 w:val="02020502060506020403"/>
    <w:charset w:val="00"/>
    <w:family w:val="roman"/>
    <w:notTrueType/>
    <w:pitch w:val="variable"/>
    <w:sig w:usb0="00000007" w:usb1="00000001" w:usb2="00000000" w:usb3="00000000" w:csb0="00000093" w:csb1="00000000"/>
  </w:font>
  <w:font w:name="LPMQ Isep Misbah">
    <w:altName w:val="Arial"/>
    <w:charset w:val="00"/>
    <w:family w:val="auto"/>
    <w:pitch w:val="variable"/>
    <w:sig w:usb0="00002003" w:usb1="1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91364423"/>
      <w:docPartObj>
        <w:docPartGallery w:val="Page Numbers (Bottom of Page)"/>
        <w:docPartUnique/>
      </w:docPartObj>
    </w:sdtPr>
    <w:sdtEndPr>
      <w:rPr>
        <w:noProof/>
      </w:rPr>
    </w:sdtEndPr>
    <w:sdtContent>
      <w:p w14:paraId="33C42EED" w14:textId="77777777" w:rsidR="00392BCF" w:rsidRPr="00FF22A3" w:rsidRDefault="00392BCF">
        <w:pPr>
          <w:pStyle w:val="Footer"/>
          <w:jc w:val="center"/>
          <w:rPr>
            <w:sz w:val="22"/>
            <w:szCs w:val="22"/>
          </w:rPr>
        </w:pPr>
        <w:r w:rsidRPr="00FF22A3">
          <w:rPr>
            <w:sz w:val="22"/>
            <w:szCs w:val="22"/>
          </w:rPr>
          <w:fldChar w:fldCharType="begin"/>
        </w:r>
        <w:r w:rsidRPr="00FF22A3">
          <w:rPr>
            <w:sz w:val="22"/>
            <w:szCs w:val="22"/>
          </w:rPr>
          <w:instrText xml:space="preserve"> PAGE   \* MERGEFORMAT </w:instrText>
        </w:r>
        <w:r w:rsidRPr="00FF22A3">
          <w:rPr>
            <w:sz w:val="22"/>
            <w:szCs w:val="22"/>
          </w:rPr>
          <w:fldChar w:fldCharType="separate"/>
        </w:r>
        <w:r w:rsidR="00773BDE">
          <w:rPr>
            <w:noProof/>
            <w:sz w:val="22"/>
            <w:szCs w:val="22"/>
          </w:rPr>
          <w:t>18</w:t>
        </w:r>
        <w:r w:rsidRPr="00FF22A3">
          <w:rPr>
            <w:noProof/>
            <w:sz w:val="22"/>
            <w:szCs w:val="22"/>
          </w:rPr>
          <w:fldChar w:fldCharType="end"/>
        </w:r>
      </w:p>
    </w:sdtContent>
  </w:sdt>
  <w:p w14:paraId="084917B0" w14:textId="77777777" w:rsidR="00392BCF" w:rsidRPr="00FF22A3" w:rsidRDefault="00392BCF" w:rsidP="003438D7">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5EE52" w14:textId="77777777" w:rsidR="009E2BED" w:rsidRDefault="009E2BED" w:rsidP="003438D7">
      <w:pPr>
        <w:spacing w:after="0" w:line="240" w:lineRule="auto"/>
      </w:pPr>
      <w:r>
        <w:separator/>
      </w:r>
    </w:p>
  </w:footnote>
  <w:footnote w:type="continuationSeparator" w:id="0">
    <w:p w14:paraId="4D378A78" w14:textId="77777777" w:rsidR="009E2BED" w:rsidRDefault="009E2BED" w:rsidP="003438D7">
      <w:pPr>
        <w:spacing w:after="0" w:line="240" w:lineRule="auto"/>
      </w:pPr>
      <w:r>
        <w:continuationSeparator/>
      </w:r>
    </w:p>
  </w:footnote>
  <w:footnote w:id="1">
    <w:p w14:paraId="4D3CDC63" w14:textId="60F0AF0D" w:rsidR="00392BCF" w:rsidRPr="003A6BAF" w:rsidRDefault="00392BCF" w:rsidP="00773BDE">
      <w:pPr>
        <w:pStyle w:val="FootnoteText"/>
        <w:ind w:firstLine="709"/>
        <w:jc w:val="lowKashida"/>
        <w:rPr>
          <w:rFonts w:asciiTheme="majorBidi" w:hAnsiTheme="majorBidi" w:cstheme="majorBidi"/>
          <w:lang w:val="id-ID"/>
        </w:rPr>
      </w:pPr>
      <w:bookmarkStart w:id="0" w:name="_GoBack"/>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{"citationID":"gvsIO7n5","properties":{"formattedCitation":"Arzam Arzam, \\uc0\\u8220{}RIBA DALAM PERSPEKTIF AL-QUR\\uc0\\u8217{}AN DAN HADIS,\\uc0\\u8221{} {\\i{}Al-Qisthu: Jurnal Kajian Ilmu-Ilmu Hukum} 6, no. 2 (February 22, 2022): 60\\uc0\\u8211{}78.","plainCitation":"Arzam Arzam, “RIBA DALAM PERSPEKTIF AL-QUR’AN DAN HADIS,” Al-Qisthu: Jurnal Kajian Ilmu-Ilmu Hukum 6, no. 2 (February 22, 2022): 60–78.","dontUpdate":true,"noteIndex":1},"citationItems":[{"id":"ADEjw652/JfFN5PTU","uris":["http://zotero.org/users/local/jmSsNa9d/items/ZTA7JEUB"],"itemData":{"id":1185,"type":"article-journal","abstract":"Islam memang tidak menganjurkan kepada umat manusia untuk menjadikan harta kekayaan sebagai tujuan akhir dan paling utama dalam hidup. Islam juga tidak menganjurkan kepada mereka untuk mengabaikannya, karena harta kekayaan dapat menjadi sarana yang penting dan amat dibutuhkan untuk mendapatkan berbagai kemudahan dan kenikmatan hidup sebagai karunia Allah. Namun dalam proses interaksi manusia dalam bidang ekonomi ini harus memperhatikan rambu-rambu yang telah ditetapkan oleh ajaran Islam sehingga akan terhindar dari arah yang keliru, seperti terjadinya paraktek riba. Dimana Riba merupakan segala bentuk tambahan atau kelebihan yang diperoleh atau didapatkan melalui transaksi yang tidak dibenarkan secara syariah","container-title":"Al-Qisthu: Jurnal Kajian Ilmu-Ilmu Hukum","DOI":"10.32694/qst.v6i2.1229","ISSN":"2654-3559, 1858-1099","issue":"2","journalAbbreviation":"QST","language":"id","license":"https://creativecommons.org/licenses/by/4.0","page":"60-78","source":"DOI.org (Crossref)","title":"RIBA DALAM PERSPEKTIF AL-QUR’AN DAN HADIS","volume":"6","author":[{"family":"Arzam","given":"Arzam"}],"issued":{"date-parts":[["2022",2,22]]}}}],"schema":"https://github.com/citation-style-language/schema/raw/master/csl-citation.json"} </w:instrText>
      </w:r>
      <w:r w:rsidRPr="003A6BAF">
        <w:rPr>
          <w:rFonts w:asciiTheme="majorBidi" w:hAnsiTheme="majorBidi" w:cstheme="majorBidi"/>
        </w:rPr>
        <w:fldChar w:fldCharType="separate"/>
      </w:r>
      <w:r w:rsidRPr="003A6BAF">
        <w:rPr>
          <w:rFonts w:asciiTheme="majorBidi" w:hAnsiTheme="majorBidi" w:cstheme="majorBidi"/>
          <w:szCs w:val="24"/>
        </w:rPr>
        <w:t xml:space="preserve">Arzam Arzam, “Riba Dalam Perspektif Al-Qur’an Dan Hadis,” </w:t>
      </w:r>
      <w:r w:rsidRPr="003A6BAF">
        <w:rPr>
          <w:rFonts w:asciiTheme="majorBidi" w:hAnsiTheme="majorBidi" w:cstheme="majorBidi"/>
          <w:i/>
          <w:iCs/>
          <w:szCs w:val="24"/>
        </w:rPr>
        <w:t>Al-Qisthu: Jurnal Kajian Ilmu-Ilmu Hukum</w:t>
      </w:r>
      <w:r w:rsidRPr="003A6BAF">
        <w:rPr>
          <w:rFonts w:asciiTheme="majorBidi" w:hAnsiTheme="majorBidi" w:cstheme="majorBidi"/>
          <w:szCs w:val="24"/>
        </w:rPr>
        <w:t xml:space="preserve"> 6, no. 2 (February 22, 2022): 60–78.</w:t>
      </w:r>
      <w:r w:rsidRPr="003A6BAF">
        <w:rPr>
          <w:rFonts w:asciiTheme="majorBidi" w:hAnsiTheme="majorBidi" w:cstheme="majorBidi"/>
        </w:rPr>
        <w:fldChar w:fldCharType="end"/>
      </w:r>
    </w:p>
  </w:footnote>
  <w:footnote w:id="2">
    <w:p w14:paraId="615A62E0" w14:textId="0746AF41"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Pr>
          <w:rFonts w:asciiTheme="majorBidi" w:hAnsiTheme="majorBidi" w:cstheme="majorBidi"/>
          <w:lang w:val="id-ID"/>
        </w:rPr>
        <w:instrText xml:space="preserve"> ADDIN ZOTERO_ITEM CSL_CITATION {"citationID":"7CeW2AUK","properties":{"formattedCitation":"Hijratul Pahsyah, Sri Endah, and Anis Mashdurohatun, \\uc0\\u8216{}Reconstruction of Bankruptcy Regulations and Suspension of Debt Payment Obligations Based on Islamic Legal Values\\uc0\\u8217{}, {\\i{}Journal of Social Research} 2, no. 5 (19 April 2023): 1583\\uc0\\u8211{}90, https://doi.org/10.55324/josr.v2i5.859.","plainCitation":"Hijratul Pahsyah, Sri Endah, and Anis Mashdurohatun, ‘Reconstruction of Bankruptcy Regulations and Suspension of Debt Payment Obligations Based on Islamic Legal Values’, Journal of Social Research 2, no. 5 (19 April 2023): 1583–90, https://doi.org/10.55324/josr.v2i5.859.","noteIndex":2},"citationItems":[{"id":"ADEjw652/QVvJNzsJ","uris":["http://zotero.org/users/local/jmSsNa9d/items/DUJ6X7YR"],"itemData":{"id":1200,"type":"article-journal","abstract":"The background of this research is that as it happens in the business world, the need for funds is a basic need that must be met by business actors, to overcome the problem of funding needs, capital loans are the solution. The problem that arises is if within the specified time the debtor is unable to pay it. The purpose of this study is to malign  and find that bankruptcy regulations and PKPU have not been based on Islamic justice values, analyze and find weaknesses in current bankruptcy regulations and PKPU, and  analyze and find reconstructions of bankruptcy regulations and PKPU based on Islamic justice values.    In this study, the constructivism paradigm was used. namely the paradigm that is the antithesis of the understanding that lays observation and objectivity in finding a reality or science, This type of research is descriptive analysis, the approach that the author uses is a Sociological Juridical approach,  This research is categorized into doctrinal hukun research (both normative and philosophical juridical), The data analysis method used in this study is qualitative data analysis to obtain descriptive data. This research uses Islamic legal theory as an applied theory, namely the Mashlahah Theory According to Imam Al-Ghazali which is a concept that is used as the main consideration in solving Islamic legal problems because the principle contained in maslahah is the maintenance of the objective purpose of law (maqasid al-shari'ah)  that is, the maintenance of religion, soul, reason, heredity, and property. Based on the results of this study, it was found that the first Bankruptcy Regulation and Suspension of Debt Payment Obligations have not been based on Islamic justice values, especially in article 2 paragraph (1), article 17 paragraph 2 and article 225 paragraph 4, Second, weaknesses were found  in the current bankruptcy and PKPU regulations, including bankruptcy requirements of at least 2 creditors, the temporary decision of PKPU was only given 45 days,  and the fee for curator is too great. For this reason, it is necessary to reconstruct the Bankruptcy Regulation and PKPU, including increasing the bankruptcy requirements for more than 2 creditors, extending the temporary bankruptcy of PKPU for more than 45 days or 1 year, changing the Curator fee calculation system based on agreements with debtors and creditors.","container-title":"Journal of Social Research","DOI":"10.55324/josr.v2i5.859","ISSN":"2828-335X","issue":"5","language":"en","page":"1583-1590","source":"ijsr.internationaljournallabs.com","title":"Reconstruction of Bankruptcy Regulations and Suspension of Debt Payment Obligations Based on Islamic Legal Values","volume":"2","author":[{"family":"Pahsyah","given":"Hijratul"},{"family":"Endah","given":"Sri"},{"family":"Mashdurohatun","given":"Anis"}],"issued":{"date-parts":[["2023",4,19]]}}}],"schema":"https://github.com/citation-style-language/schema/raw/master/csl-citation.json"} </w:instrText>
      </w:r>
      <w:r w:rsidRPr="003A6BAF">
        <w:rPr>
          <w:rFonts w:asciiTheme="majorBidi" w:hAnsiTheme="majorBidi" w:cstheme="majorBidi"/>
        </w:rPr>
        <w:fldChar w:fldCharType="separate"/>
      </w:r>
      <w:r w:rsidRPr="00392BCF">
        <w:rPr>
          <w:szCs w:val="24"/>
          <w:lang w:val="id-ID"/>
        </w:rPr>
        <w:t xml:space="preserve">Hijratul Pahsyah, Sri Endah, and Anis Mashdurohatun, ‘Reconstruction of Bankruptcy Regulations and Suspension of Debt Payment Obligations Based on Islamic Legal Values’, </w:t>
      </w:r>
      <w:r w:rsidRPr="00392BCF">
        <w:rPr>
          <w:i/>
          <w:iCs/>
          <w:szCs w:val="24"/>
          <w:lang w:val="id-ID"/>
        </w:rPr>
        <w:t>Journal of Social Research</w:t>
      </w:r>
      <w:r w:rsidRPr="00392BCF">
        <w:rPr>
          <w:szCs w:val="24"/>
          <w:lang w:val="id-ID"/>
        </w:rPr>
        <w:t xml:space="preserve"> 2, no. 5 (19 April 2023): 1583–90, https://doi.org/10.55324/josr.v2i5.859.</w:t>
      </w:r>
      <w:r w:rsidRPr="003A6BAF">
        <w:rPr>
          <w:rFonts w:asciiTheme="majorBidi" w:hAnsiTheme="majorBidi" w:cstheme="majorBidi"/>
        </w:rPr>
        <w:fldChar w:fldCharType="end"/>
      </w:r>
    </w:p>
  </w:footnote>
  <w:footnote w:id="3">
    <w:p w14:paraId="5215E221" w14:textId="12D11915" w:rsidR="00392BCF" w:rsidRPr="00547BE0" w:rsidRDefault="00392BCF" w:rsidP="00773BDE">
      <w:pPr>
        <w:pStyle w:val="FootnoteText"/>
        <w:ind w:firstLine="709"/>
        <w:jc w:val="lowKashida"/>
        <w:rPr>
          <w:lang w:val="id-ID"/>
        </w:rPr>
      </w:pPr>
      <w:r>
        <w:rPr>
          <w:rStyle w:val="FootnoteReference"/>
        </w:rPr>
        <w:footnoteRef/>
      </w:r>
      <w:r w:rsidRPr="00547BE0">
        <w:rPr>
          <w:lang w:val="id-ID"/>
        </w:rPr>
        <w:t xml:space="preserve"> </w:t>
      </w:r>
      <w:r>
        <w:fldChar w:fldCharType="begin"/>
      </w:r>
      <w:r>
        <w:rPr>
          <w:lang w:val="id-ID"/>
        </w:rPr>
        <w:instrText xml:space="preserve"> ADDIN ZOTERO_ITEM CSL_CITATION {"citationID":"2vZCPRij","properties":{"formattedCitation":"Dedisyah Putra, \\uc0\\u8220{}AKAD HUTANG PIUTANG PETANI PADI DENGAN PEMILIK PABRIK PENGGILING PADA MASYARAKAT PANYABUNGAN TONGA DITINJAU DARI HUKUM ISLAM,\\uc0\\u8221{} {\\i{}El-Ahli\\uc0\\u8239{}: Jurnal Hukum Keluarga Islam} 3, no. 2 (December 28, 2022): 194\\uc0\\u8211{}210.","plainCitation":"Dedisyah Putra, “AKAD HUTANG PIUTANG PETANI PADI DENGAN PEMILIK PABRIK PENGGILING PADA MASYARAKAT PANYABUNGAN TONGA DITINJAU DARI HUKUM ISLAM,” El-Ahli : Jurnal Hukum Keluarga Islam 3, no. 2 (December 28, 2022): 194–210.","dontUpdate":true,"noteIndex":3},"citationItems":[{"id":"ADEjw652/vkw4cXSX","uris":["http://zotero.org/users/local/jmSsNa9d/items/ZIJQ23AG"],"itemData":{"id":3838,"type":"article-journal","abstract":"Abstract\nThe debt-receivable agreement which was originally just a muamalah relationship as usually social creatures and not accompanied by a specific intention or purpose turned out to be a business arena for people who have money to get abundant rice to be stored and when the price has gone up and the harvest season finished, the new rice is sold at a higher price. The study will discuss the implementation of debt-receivable contracts in Panyabungan Tonga Village, Panyabungan District, Mandailing Natal Regency to clearly know the legal perspective of Islamic law. This research is qualitative with the type of field research. The results of the study illustrate that in the loan agreement the farmer borrows money from the factory owner to work on the fields, the money will be paid with quintals of rice in the harvest season equivalent to 600 thousand cash which is determined by the price by the factory owner. Then if the farmer cannot repay the debt at maturity (harvest), then the farmer must return the debt with an additional 20% at the next harvest, but if the next harvest the farmer still cannot repay the debt, the farmer must add another 20% of the loan principal. so the number is 40%, and so on and of course this practice is not in accordance with Islamic law.\nKeywords: Rice Farmers, Accounts Receivable, Milling Factory\n \nAbstrak\nPerjanjian hutang-piutang yang semula hanya sekedar mengadakan hubungan muamalah sebagaimana lazimnya makhluk sosial dan tidak disertai dengan niat atau maksud tertentu ternyata berubah menjadi ajang bisnis bagi orang-orang yang memiliki uang guna mendapatkan padi yang melimpah untuk disimpan dan apabila harganya sudah naik dan musim panen telah usai, padi tersebut baru dijual dengan harga yang lebih tinggi. Penelitian akan membahas pelaksanaan akad hutang-piutang di Desa Panyabungan Tonga Kecamatan Panyabungan Kabupaten Mandailing Natal untuk diketahui secara jelas hukumnya perspektif  hukum Islam. Penelitian ini bersifat deskriptif analitik dengan jenis penelitian lapangan. Hasil dari penelitian menggambarkan bahwa dalam perjanjian hutang-piutang petani meminjam uang kepada pemilik pabrik untuk menggarap sawah, uang tersebut akan dibayar dengan padi kwintal pada musim panen setara dengan uang 600 ribu yang ditentukan harganya oleh pemilik pabrik. Kemudian apabila petani tidak bisa mengembalikan hutangnya pada saat jatuh tempo (panen), maka petani harus mengembalikan hutangnya dengan tambahan 20% pada panen berikutnya, namun apabila panen berikutnya petani masih belum bisa mengembalikan hutangnya, maka petani harus menambah 20% lagi dari pokok pinjaman, jadi jumlahnya 40%, begitu seterusnya dan tentu praktik seperti ini belum sesuai dengan hukum Islam.\nKata Kuci: Petani Padi, Hutang-piutang, pabrik penggilingan","container-title":"El-Ahli : Jurnal Hukum Keluarga Islam","DOI":"10.56874/el-ahli.v3i2.961","ISSN":"2722-225X","issue":"2","language":"en","page":"194-210","source":"jurnal.stain-madina.ac.id","title":"AKAD HUTANG PIUTANG PETANI PADI DENGAN PEMILIK PABRIK PENGGILING PADA MASYARAKAT PANYABUNGAN TONGA DITINJAU DARI HUKUM ISLAM","volume":"3","author":[{"family":"Putra","given":"Dedisyah"}],"issued":{"date-parts":[["2022",12,28]]}}}],"schema":"https://github.com/citation-style-language/schema/raw/master/csl-citation.json"} </w:instrText>
      </w:r>
      <w:r>
        <w:fldChar w:fldCharType="separate"/>
      </w:r>
      <w:r w:rsidRPr="00547BE0">
        <w:rPr>
          <w:szCs w:val="24"/>
          <w:lang w:val="id-ID"/>
        </w:rPr>
        <w:t xml:space="preserve">Dedisyah Putra, “Akad Hutang Piutang Petani Padi Dengan Pemilik Pabrik Penggiling Pada Masyarakat Panyabungan Tonga Ditinjau Dari Hukum Islam,” </w:t>
      </w:r>
      <w:r w:rsidRPr="00547BE0">
        <w:rPr>
          <w:i/>
          <w:iCs/>
          <w:szCs w:val="24"/>
          <w:lang w:val="id-ID"/>
        </w:rPr>
        <w:t>El-Ahli : Jurnal Hukum Keluarga Islam</w:t>
      </w:r>
      <w:r w:rsidRPr="00547BE0">
        <w:rPr>
          <w:szCs w:val="24"/>
          <w:lang w:val="id-ID"/>
        </w:rPr>
        <w:t xml:space="preserve"> 3, no. 2 (December 28, 2022): 194–210.</w:t>
      </w:r>
      <w:r>
        <w:fldChar w:fldCharType="end"/>
      </w:r>
    </w:p>
  </w:footnote>
  <w:footnote w:id="4">
    <w:p w14:paraId="2C90DAAA" w14:textId="2AB57DBB" w:rsidR="00392BCF" w:rsidRPr="00547BE0" w:rsidRDefault="00392BCF" w:rsidP="00773BDE">
      <w:pPr>
        <w:pStyle w:val="FootnoteText"/>
        <w:ind w:firstLine="709"/>
        <w:jc w:val="lowKashida"/>
        <w:rPr>
          <w:lang w:val="id-ID"/>
        </w:rPr>
      </w:pPr>
      <w:r>
        <w:rPr>
          <w:rStyle w:val="FootnoteReference"/>
        </w:rPr>
        <w:footnoteRef/>
      </w:r>
      <w:r w:rsidRPr="00547BE0">
        <w:rPr>
          <w:lang w:val="id-ID"/>
        </w:rPr>
        <w:t xml:space="preserve"> </w:t>
      </w:r>
      <w:r>
        <w:fldChar w:fldCharType="begin"/>
      </w:r>
      <w:r>
        <w:rPr>
          <w:lang w:val="id-ID"/>
        </w:rPr>
        <w:instrText xml:space="preserve"> ADDIN ZOTERO_ITEM CSL_CITATION {"citationID":"EZ5eAiIc","properties":{"formattedCitation":"Putra, \\uc0\\u8220{}AKAD HUTANG PIUTANG PETANI PADI DENGAN PEMILIK PABRIK PENGGILING PADA MASYARAKAT PANYABUNGAN TONGA DITINJAU DARI HUKUM ISLAM.\\uc0\\u8221{}","plainCitation":"Putra, “AKAD HUTANG PIUTANG PETANI PADI DENGAN PEMILIK PABRIK PENGGILING PADA MASYARAKAT PANYABUNGAN TONGA DITINJAU DARI HUKUM ISLAM.”","dontUpdate":true,"noteIndex":4},"citationItems":[{"id":"ADEjw652/vkw4cXSX","uris":["http://zotero.org/users/local/jmSsNa9d/items/ZIJQ23AG"],"itemData":{"id":3838,"type":"article-journal","abstract":"Abstract\nThe debt-receivable agreement which was originally just a muamalah relationship as usually social creatures and not accompanied by a specific intention or purpose turned out to be a business arena for people who have money to get abundant rice to be stored and when the price has gone up and the harvest season finished, the new rice is sold at a higher price. The study will discuss the implementation of debt-receivable contracts in Panyabungan Tonga Village, Panyabungan District, Mandailing Natal Regency to clearly know the legal perspective of Islamic law. This research is qualitative with the type of field research. The results of the study illustrate that in the loan agreement the farmer borrows money from the factory owner to work on the fields, the money will be paid with quintals of rice in the harvest season equivalent to 600 thousand cash which is determined by the price by the factory owner. Then if the farmer cannot repay the debt at maturity (harvest), then the farmer must return the debt with an additional 20% at the next harvest, but if the next harvest the farmer still cannot repay the debt, the farmer must add another 20% of the loan principal. so the number is 40%, and so on and of course this practice is not in accordance with Islamic law.\nKeywords: Rice Farmers, Accounts Receivable, Milling Factory\n \nAbstrak\nPerjanjian hutang-piutang yang semula hanya sekedar mengadakan hubungan muamalah sebagaimana lazimnya makhluk sosial dan tidak disertai dengan niat atau maksud tertentu ternyata berubah menjadi ajang bisnis bagi orang-orang yang memiliki uang guna mendapatkan padi yang melimpah untuk disimpan dan apabila harganya sudah naik dan musim panen telah usai, padi tersebut baru dijual dengan harga yang lebih tinggi. Penelitian akan membahas pelaksanaan akad hutang-piutang di Desa Panyabungan Tonga Kecamatan Panyabungan Kabupaten Mandailing Natal untuk diketahui secara jelas hukumnya perspektif  hukum Islam. Penelitian ini bersifat deskriptif analitik dengan jenis penelitian lapangan. Hasil dari penelitian menggambarkan bahwa dalam perjanjian hutang-piutang petani meminjam uang kepada pemilik pabrik untuk menggarap sawah, uang tersebut akan dibayar dengan padi kwintal pada musim panen setara dengan uang 600 ribu yang ditentukan harganya oleh pemilik pabrik. Kemudian apabila petani tidak bisa mengembalikan hutangnya pada saat jatuh tempo (panen), maka petani harus mengembalikan hutangnya dengan tambahan 20% pada panen berikutnya, namun apabila panen berikutnya petani masih belum bisa mengembalikan hutangnya, maka petani harus menambah 20% lagi dari pokok pinjaman, jadi jumlahnya 40%, begitu seterusnya dan tentu praktik seperti ini belum sesuai dengan hukum Islam.\nKata Kuci: Petani Padi, Hutang-piutang, pabrik penggilingan","container-title":"El-Ahli : Jurnal Hukum Keluarga Islam","DOI":"10.56874/el-ahli.v3i2.961","ISSN":"2722-225X","issue":"2","language":"en","page":"194-210","source":"jurnal.stain-madina.ac.id","title":"AKAD HUTANG PIUTANG PETANI PADI DENGAN PEMILIK PABRIK PENGGILING PADA MASYARAKAT PANYABUNGAN TONGA DITINJAU DARI HUKUM ISLAM","volume":"3","author":[{"family":"Putra","given":"Dedisyah"}],"issued":{"date-parts":[["2022",12,28]]}}}],"schema":"https://github.com/citation-style-language/schema/raw/master/csl-citation.json"} </w:instrText>
      </w:r>
      <w:r>
        <w:fldChar w:fldCharType="separate"/>
      </w:r>
      <w:r w:rsidRPr="00547BE0">
        <w:rPr>
          <w:szCs w:val="24"/>
          <w:lang w:val="id-ID"/>
        </w:rPr>
        <w:t>Putra, “Akad Hutang Piutang Petani Padi Dengan Pemilik Pabrik Penggiling Pada Masyarakat Panyabungan Tonga Ditinjau Dari Hukum Islam.”</w:t>
      </w:r>
      <w:r>
        <w:fldChar w:fldCharType="end"/>
      </w:r>
    </w:p>
  </w:footnote>
  <w:footnote w:id="5">
    <w:p w14:paraId="4C217AF5" w14:textId="3742F2DB" w:rsidR="00392BCF" w:rsidRPr="00547BE0" w:rsidRDefault="00392BCF" w:rsidP="00773BDE">
      <w:pPr>
        <w:pStyle w:val="FootnoteText"/>
        <w:ind w:firstLine="709"/>
        <w:jc w:val="lowKashida"/>
        <w:rPr>
          <w:lang w:val="id-ID"/>
        </w:rPr>
      </w:pPr>
      <w:r>
        <w:rPr>
          <w:rStyle w:val="FootnoteReference"/>
        </w:rPr>
        <w:footnoteRef/>
      </w:r>
      <w:r w:rsidRPr="00547BE0">
        <w:rPr>
          <w:lang w:val="id-ID"/>
        </w:rPr>
        <w:t xml:space="preserve"> </w:t>
      </w:r>
      <w:r>
        <w:fldChar w:fldCharType="begin"/>
      </w:r>
      <w:r>
        <w:rPr>
          <w:lang w:val="id-ID"/>
        </w:rPr>
        <w:instrText xml:space="preserve"> ADDIN ZOTERO_ITEM CSL_CITATION {"citationID":"sauBhbtq","properties":{"formattedCitation":"Nur Vianti, \\uc0\\u8220{}IMPLEMENTATION OF THE HIWALAH ACADEMIC IN SOCIAL ENVIRONMENT AND SHARIA FINANCIAL INSTITUTIONS,\\uc0\\u8221{} {\\i{}MORFAI JOURNAL} 3, no. 2 (April 21, 2023): 196\\uc0\\u8211{}206.","plainCitation":"Nur Vianti, “IMPLEMENTATION OF THE HIWALAH ACADEMIC IN SOCIAL ENVIRONMENT AND SHARIA FINANCIAL INSTITUTIONS,” MORFAI JOURNAL 3, no. 2 (April 21, 2023): 196–206.","dontUpdate":true,"noteIndex":5},"citationItems":[{"id":"ADEjw652/nivXk2Cv","uris":["http://zotero.org/users/local/jmSsNa9d/items/P765UVFE"],"itemData":{"id":3840,"type":"article-journal","abstract":"Debt has become commonplace to meet the needs of human life. However, because it is a loan, it must be returned, and sometimes not everyone can return it at the agreed time. Therefore, Islam offers a solution in the form of the Hiwalah Contract. Hiwalah is the transfer of debt from the person who owes it to someone else who is able to pay it. Hiwalah is a unique system suitable for adaptation by humans, because Hiwalah is part of human life in muamalah. The legal basis for implementing Hiwalah is the Qur'an, Hadith, Ijma' and Qiyas. Hiwalah is not used to solve account payments problems but more than that it also serves as a transfer of funds from one person to another or from one group to another. In this case, the banking system has also practiced the Hiwalah contract. The debt transfer system is a transfer of debt burden from the person who is in debt to the person who is obliged to pay because there are similar debt levels. To transfer debt, you can use collateral which is joint property in the financing, so it can be transferred to those who are able to bear it with the guarantee that the assets are transferred to the guarantor. Even on the other hand it could also be for other people who want to continue the stalled financing with the assets being financed as collateral then there is a transfer of use to the insurer. The debt transfer system is a transfer of debt burden from the person who is in debt to the person who is obliged to pay because there are similar debt levels. To transfer debt, you can use collateral which is joint property in the financing, so it can be transferred to those who are able to bear it with the guarantee that the assets are transferred to the guarantor. Even on the other hand it could also be for other people who want to continue the stalled financing with the assets being financed as collateral then there is a transfer of use to the insurer.","container-title":"MORFAI JOURNAL","DOI":"10.54443/morfai.v3i2.851","ISSN":"2808-6635","issue":"2","language":"en","license":"Copyright (c) 2023 Nur Vianti","note":"number: 2","page":"196-206","source":"radjapublika.com","title":"IMPLEMENTATION OF THE HIWALAH ACADEMIC IN SOCIAL ENVIRONMENT AND SHARIA FINANCIAL INSTITUTIONS","volume":"3","author":[{"family":"Vianti","given":"Nur"}],"issued":{"date-parts":[["2023",4,21]]}}}],"schema":"https://github.com/citation-style-language/schema/raw/master/csl-citation.json"} </w:instrText>
      </w:r>
      <w:r>
        <w:fldChar w:fldCharType="separate"/>
      </w:r>
      <w:r w:rsidRPr="00547BE0">
        <w:rPr>
          <w:szCs w:val="24"/>
          <w:lang w:val="id-ID"/>
        </w:rPr>
        <w:t xml:space="preserve">Nur Vianti, “Implementation Of The Hiwalah Academic In Social Environment And Sharia Financial Institutions,” </w:t>
      </w:r>
      <w:r w:rsidRPr="00547BE0">
        <w:rPr>
          <w:i/>
          <w:iCs/>
          <w:szCs w:val="24"/>
          <w:lang w:val="id-ID"/>
        </w:rPr>
        <w:t>Morfai Journal</w:t>
      </w:r>
      <w:r w:rsidRPr="00547BE0">
        <w:rPr>
          <w:szCs w:val="24"/>
          <w:lang w:val="id-ID"/>
        </w:rPr>
        <w:t xml:space="preserve"> 3, no. 2 (April 21, 2023): 196–206.</w:t>
      </w:r>
      <w:r>
        <w:fldChar w:fldCharType="end"/>
      </w:r>
    </w:p>
  </w:footnote>
  <w:footnote w:id="6">
    <w:p w14:paraId="6760DD0A" w14:textId="6A0B6B69"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{"citationID":"a7phm1xX","properties":{"formattedCitation":"Muhammad Kusnady Tabsir, Arfin Hamid, and Irwan Misbach, \\uc0\\u8216{}Handling of Consumer Defaults at PT Adira Finance from the Perspective of Islamic Economics Ethics\\uc0\\u8217{}, {\\i{}Formosa Journal of Sustainable Research} 2, no. 2 (27 February 2023): 299\\uc0\\u8211{}310, https://doi.org/10.55927/fjsr.v2i2.3108.","plainCitation":"Muhammad Kusnady Tabsir, Arfin Hamid, and Irwan Misbach, ‘Handling of Consumer Defaults at PT Adira Finance from the Perspective of Islamic Economics Ethics’, Formosa Journal of Sustainable Research 2, no. 2 (27 February 2023): 299–310, https://doi.org/10.55927/fjsr.v2i2.3108.","noteIndex":6},"citationItems":[{"id":"ADEjw652/Cvt39Q2c","uris":["http://zotero.org/users/local/jmSsNa9d/items/7Z4UFBHK"],"itemData":{"id":1203,"type":"article-journal","abstract":"Defaults in motor vehicle loan agreements by consumers occur because of the consumptive nature of customer is not directly proportional to their income. In addition there  is a bad faith from some consumer not to carry out their obligation as they should. The purpose of this study was to analyze the handling of defaults on motor vehicle agreements at PT Adira finance. This study used qualitative research method with field research.  The result show that PT Adira Finance in dealing with the consumers default in  motor vehicle loan  agreements from the perspective of the Islamic business ethics has implemented several basic principles of business ethics in Islamic economics especially monotheism, free will, responsibility and truth. While the principle of balance and justice. PT. Adira Finance has not fully applied Islamic economic ethics, especially in term of writing of consumer debt that are eligible  for assistance because they meet certain conditions such as going bankrupt","container-title":"Formosa Journal of Sustainable Research","DOI":"10.55927/fjsr.v2i2.3108","ISSN":"2830-6228","issue":"2","journalAbbreviation":"FJSR","language":"id","license":"https://creativecommons.org/licenses/by/4.0","page":"299-310","source":"DOI.org (Crossref)","title":"Handling of Consumer Defaults at PT Adira Finance from the Perspective of Islamic Economics Ethics","volume":"2","author":[{"literal":"Muhammad Kusnady Tabsir"},{"literal":"Arfin Hamid"},{"literal":"Irwan Misbach"}],"issued":{"date-parts":[["2023",2,27]]}}}],"schema":"https://github.com/citation-style-language/schema/raw/master/csl-citation.json"} </w:instrText>
      </w:r>
      <w:r w:rsidRPr="003A6BAF">
        <w:rPr>
          <w:rFonts w:asciiTheme="majorBidi" w:hAnsiTheme="majorBidi" w:cstheme="majorBidi"/>
        </w:rPr>
        <w:fldChar w:fldCharType="separate"/>
      </w:r>
      <w:r w:rsidRPr="00392BCF">
        <w:rPr>
          <w:szCs w:val="24"/>
        </w:rPr>
        <w:t xml:space="preserve">Muhammad Kusnady Tabsir, Arfin Hamid, and Irwan Misbach, ‘Handling of Consumer Defaults at PT Adira Finance from the Perspective of Islamic Economics Ethics’, </w:t>
      </w:r>
      <w:r w:rsidRPr="00392BCF">
        <w:rPr>
          <w:i/>
          <w:iCs/>
          <w:szCs w:val="24"/>
        </w:rPr>
        <w:t>Formosa Journal of Sustainable Research</w:t>
      </w:r>
      <w:r w:rsidRPr="00392BCF">
        <w:rPr>
          <w:szCs w:val="24"/>
        </w:rPr>
        <w:t xml:space="preserve"> 2, no. 2 (27 February 2023): 299–310, https://doi.org/10.55927/fjsr.v2i2.3108.</w:t>
      </w:r>
      <w:r w:rsidRPr="003A6BAF">
        <w:rPr>
          <w:rFonts w:asciiTheme="majorBidi" w:hAnsiTheme="majorBidi" w:cstheme="majorBidi"/>
        </w:rPr>
        <w:fldChar w:fldCharType="end"/>
      </w:r>
    </w:p>
  </w:footnote>
  <w:footnote w:id="7">
    <w:p w14:paraId="188AD0D1" w14:textId="693F1B30" w:rsidR="00392BCF" w:rsidRPr="00B43B62" w:rsidRDefault="00392BCF" w:rsidP="00773BDE">
      <w:pPr>
        <w:pStyle w:val="FootnoteText"/>
        <w:ind w:firstLine="709"/>
        <w:jc w:val="lowKashida"/>
        <w:rPr>
          <w:lang w:val="id-ID"/>
        </w:rPr>
      </w:pPr>
      <w:r>
        <w:rPr>
          <w:rStyle w:val="FootnoteReference"/>
        </w:rPr>
        <w:footnoteRef/>
      </w:r>
      <w:r w:rsidRPr="00B43B62">
        <w:rPr>
          <w:lang w:val="id-ID"/>
        </w:rPr>
        <w:t xml:space="preserve"> </w:t>
      </w:r>
      <w:r>
        <w:fldChar w:fldCharType="begin"/>
      </w:r>
      <w:r>
        <w:rPr>
          <w:lang w:val="id-ID"/>
        </w:rPr>
        <w:instrText xml:space="preserve"> ADDIN ZOTERO_ITEM CSL_CITATION {"citationID":"2xO92PKS","properties":{"formattedCitation":"Abdulazeem Abozaid, \\uc0\\u8216{}\\uc0\\u1605{}\\uc0\\u1585{}\\uc0\\u1575{}\\uc0\\u1580{}\\uc0\\u1593{}\\uc0\\u1577{} \\uc0\\u1605{}\\uc0\\u1602{}\\uc0\\u1575{}\\uc0\\u1589{}\\uc0\\u1583{}\\uc0\\u1610{}\\uc0\\u1577{} \\uc0\\u1604{}\\uc0\\u1602{}\\uc0\\u1590{}\\uc0\\u1610{}\\uc0\\u1577{} \\uc0\\u1575{}\\uc0\\u1604{}\\uc0\\u1580{}\\uc0\\u1605{}\\uc0\\u1593{} \\uc0\\u1576{}\\uc0\\u1610{}\\uc0\\u1606{} \\uc0\\u1575{}\\uc0\\u1604{}\\uc0\\u1593{}\\uc0\\u1602{}\\uc0\\u1608{}\\uc0\\u1583{}\\uc0\\u8217{}, {\\i{}Journal of College of Sharia and Islamic Studies} 40, no. 2 (12 May 2022), https://doi.org/10.29117/jcsis.2022.0336.","plainCitation":"Abdulazeem Abozaid, ‘</w:instrText>
      </w:r>
      <w:r>
        <w:rPr>
          <w:rtl/>
          <w:lang w:val="id-ID"/>
        </w:rPr>
        <w:instrText>مراجعة مقاصدية لقضية الجمع بين العقود</w:instrText>
      </w:r>
      <w:r>
        <w:rPr>
          <w:lang w:val="id-ID"/>
        </w:rPr>
        <w:instrText>’, Journal of College of Sharia and Islamic Studies 40, no. 2 (12 May 2022), https://doi.org/10.29117/jcsis.2022.0336.","noteIndex":7},"citationItems":[{"id":"ADEjw652/bwNVCFk7","uris":["http://zotero.org/users/local/jmSsNa9d/items/6DVIYF8V"],"itemData":{"id":3846,"type":"article-journal","abstract":"</w:instrText>
      </w:r>
      <w:r>
        <w:rPr>
          <w:rtl/>
          <w:lang w:val="id-ID"/>
        </w:rPr>
        <w:instrText>أهداف البحث: يهدف البحث إلى تحليل مقاصد النهي في النصوص الشرعية المتعلقة بالنهي عن الجمع بين العقود، بُغيةَ معرفة المحرم الذي يجب الوقوف عنده؛ إذ يُخشى أنَّ بعض التفسير الظاهر لهذه النصوص قد أدَّى إلى الحكم بِحُرمة بعض العقود دون داعٍ لذلك؛ فيوفق البحث بين مقاصد الشرع في الإباحة والحظر في إطار المعاملات المالية</w:instrText>
      </w:r>
      <w:r>
        <w:rPr>
          <w:lang w:val="id-ID"/>
        </w:rPr>
        <w:instrText>.\n</w:instrText>
      </w:r>
      <w:r>
        <w:rPr>
          <w:rtl/>
          <w:lang w:val="id-ID"/>
        </w:rPr>
        <w:instrText>منهج الدراسة: اتَّبع البحث المنهج الاستقرائي للنصوص المتعلقة بالجمع بين العقود، ثم التحليلي والتركيبي؛ لتحقيق غاية البحث من تحديد محالّ النهي وإخراج غير المقصود بالنهي من الشارع</w:instrText>
      </w:r>
      <w:r>
        <w:rPr>
          <w:lang w:val="id-ID"/>
        </w:rPr>
        <w:instrText>.\n</w:instrText>
      </w:r>
      <w:r>
        <w:rPr>
          <w:rtl/>
          <w:lang w:val="id-ID"/>
        </w:rPr>
        <w:instrText>النتائج: توصل البحث إلى أنَّ فهم عِلَلَ الأحكام الشرعية وحِكَمها ضروري للتطبيق الصحيح للأحكام، ومعرفة ما يقبل التغيُّر منها وما لا يقبل، بل وانضواء معاملات جديدة تحت تلك الأحكام، فالأخذ بظاهر النهي عند اجتماع العقود وتعميمه يُوقع الناس في حرج كبير؛ لأنَّ طبيعة معاملات الناس، ولا سيما المعاصرة، تقتضي اجتماعَ العقود وفرضَ الشروط الكثيرة في البيوع، كما توصَّل البحث إلى أنَّ الجمع بين القرض وشرط دخول المقترض بمعاملة مالية مع المقرض لا يدخل في نهي الشارع؛ لأنَّ النفع الذي يصيب المقرض ولا يتضرر منه المقرض على الإطلاق ليس محرمًا</w:instrText>
      </w:r>
      <w:r>
        <w:rPr>
          <w:lang w:val="id-ID"/>
        </w:rPr>
        <w:instrText>.\n</w:instrText>
      </w:r>
      <w:r>
        <w:rPr>
          <w:rtl/>
          <w:lang w:val="id-ID"/>
        </w:rPr>
        <w:instrText>أصالة البحث: يتناول البحث قضية لم تلقَ الاهتمام الكافي من حيث الدراسة والتحليل، وتكمُن أهميته في وضع الضوابط التي تحدد غير المقبول من اجتماع العقود، ولا سيما في المسائل المشتبهة بالربا، وهو عمل غير مسبوق</w:instrText>
      </w:r>
      <w:r>
        <w:rPr>
          <w:lang w:val="id-ID"/>
        </w:rPr>
        <w:instrText xml:space="preserve">.","container-title":"Journal of College of Sharia and Islamic Studies","DOI":"10.29117/jcsis.2022.0336","ISSN":"2523-1715","issue":"2","language":"ar","license":"Copyright (c) 2022 </w:instrText>
      </w:r>
      <w:r>
        <w:rPr>
          <w:rtl/>
          <w:lang w:val="id-ID"/>
        </w:rPr>
        <w:instrText>مجلة كلية الشريعة والدراسات الاسلامية</w:instrText>
      </w:r>
      <w:r>
        <w:rPr>
          <w:lang w:val="id-ID"/>
        </w:rPr>
        <w:instrText>","note":"number: 2","source":"journals.qu.edu.qa","title":"</w:instrText>
      </w:r>
      <w:r>
        <w:rPr>
          <w:rtl/>
          <w:lang w:val="id-ID"/>
        </w:rPr>
        <w:instrText>مراجعة مقاصدية لقضية الجمع بين العقود</w:instrText>
      </w:r>
      <w:r>
        <w:rPr>
          <w:lang w:val="id-ID"/>
        </w:rPr>
        <w:instrText xml:space="preserve">","URL":"https://journals.qu.edu.qa/index.php/sharia/article/view/2343","volume":"40","author":[{"family":"Abozaid","given":"Abdulazeem"}],"accessed":{"date-parts":[["2024",9,16]]},"issued":{"date-parts":[["2022",5,12]]}}}],"schema":"https://github.com/citation-style-language/schema/raw/master/csl-citation.json"} </w:instrText>
      </w:r>
      <w:r>
        <w:fldChar w:fldCharType="separate"/>
      </w:r>
      <w:r w:rsidRPr="00392BCF">
        <w:rPr>
          <w:szCs w:val="24"/>
        </w:rPr>
        <w:t>Abdulazeem Abozaid, ‘</w:t>
      </w:r>
      <w:r w:rsidRPr="00392BCF">
        <w:rPr>
          <w:szCs w:val="24"/>
          <w:rtl/>
        </w:rPr>
        <w:t>مراجعة مقاصدية لقضية الجمع بين العقود</w:t>
      </w:r>
      <w:r w:rsidRPr="00392BCF">
        <w:rPr>
          <w:szCs w:val="24"/>
        </w:rPr>
        <w:t xml:space="preserve">’, </w:t>
      </w:r>
      <w:r w:rsidRPr="00392BCF">
        <w:rPr>
          <w:i/>
          <w:iCs/>
          <w:szCs w:val="24"/>
        </w:rPr>
        <w:t>Journal of College of Sharia and Islamic Studies</w:t>
      </w:r>
      <w:r w:rsidRPr="00392BCF">
        <w:rPr>
          <w:szCs w:val="24"/>
        </w:rPr>
        <w:t xml:space="preserve"> 40, no. 2 (12 May 2022), https://doi.org/10.29117/jcsis.2022.0336.</w:t>
      </w:r>
      <w:r>
        <w:fldChar w:fldCharType="end"/>
      </w:r>
    </w:p>
  </w:footnote>
  <w:footnote w:id="8">
    <w:p w14:paraId="1C550607" w14:textId="77F28255" w:rsidR="00392BCF" w:rsidRPr="00B43B62"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{"citationID":"aJ1QH0Lt","properties":{"formattedCitation":"M. N. Harisudin, \\uc0\\u8216{}Ekonomi Sharah dan Ketidakadilan Kapitalisme Global\\uc0\\u8217{}, {\\i{}Islamica: Jurnal Studi Keislaman} 5, no. 2 (1 March 2011): 234\\uc0\\u8211{}44, https://doi.org/10.15642/islamica.2011.5.2.234-244.","plainCitation":"M. N. Harisudin, ‘Ekonomi Sharah dan Ketidakadilan Kapitalisme Global’, Islamica: Jurnal Studi Keislaman 5, no. 2 (1 March 2011): 234–44, https://doi.org/10.15642/islamica.2011.5.2.234-244.","noteIndex":8},"citationItems":[{"id":"ADEjw652/u7jUvlRg","uris":["http://zotero.org/users/local/jmSsNa9d/items/9T47JIFH"],"itemData":{"id":3848,"type":"article-journal","abstract":"This paper understands that the Sharah Economics is a serious contender for the modern global capitalistic economic system. Capitalism has been responsible for the collapse of not only the global economic system but also the moral deterioration of human being. Injustice is the main mark of capitalism. Hence, in a capitalistic society, no law of the game is upheld economically speaking. The strong and the rich rule. The weak is always a victim. This is the main concern of this paper, vis-?-vis which it introduces the Sharah perspective as providing a good alternative. The paper first speaks of the sources of this ?Islamic? system -namely the Quran, the Sunna, Ijma and Qiyas- and then delves into its heart, namely justice. The study holds that the main imprint ot Syari? ah economic system is justice. Being divinely revealed, this system is always in line with the very nature of man as a social being whose responsibility it is to do something beneficial for his fellow human being. Man is not created solely to accumulate wealth, but to serve God, his religion, his community by using wealth among others. Hence, wealth is not the goal, but the means. The goal that every man wants to acquire is happiness. Shariah Economics?the paper argues- is ordained to provide a practical guideline toward happiness.","container-title":"Islamica: Jurnal Studi Keislaman","DOI":"10.15642/islamica.2011.5.2.234-244","ISSN":"2356-2218","issue":"2","language":"ina","license":"Copyright (c)","note":"number: 2","page":"234-244","source":"islamica.uinsa.ac.id","title":"Ekonomi Sharah dan Ketidakadilan Kapitalisme Global","volume":"5","author":[{"family":"Harisudin","given":"M. N."}],"issued":{"date-parts":[["2011",3,1]]}}}],"schema":"https://github.com/citation-style-language/schema/raw/master/csl-citation.json"} </w:instrText>
      </w:r>
      <w:r>
        <w:fldChar w:fldCharType="separate"/>
      </w:r>
      <w:r w:rsidRPr="00392BCF">
        <w:rPr>
          <w:szCs w:val="24"/>
        </w:rPr>
        <w:t xml:space="preserve">M. N. Harisudin, ‘Ekonomi Sharah dan Ketidakadilan Kapitalisme Global’, </w:t>
      </w:r>
      <w:r w:rsidRPr="00392BCF">
        <w:rPr>
          <w:i/>
          <w:iCs/>
          <w:szCs w:val="24"/>
        </w:rPr>
        <w:t>Islamica: Jurnal Studi Keislaman</w:t>
      </w:r>
      <w:r w:rsidRPr="00392BCF">
        <w:rPr>
          <w:szCs w:val="24"/>
        </w:rPr>
        <w:t xml:space="preserve"> 5, no. 2 (1 March 2011): 234–44, https://doi.org/10.15642/islamica.2011.5.2.234-244.</w:t>
      </w:r>
      <w:r>
        <w:fldChar w:fldCharType="end"/>
      </w:r>
    </w:p>
  </w:footnote>
  <w:footnote w:id="9">
    <w:p w14:paraId="04D4F4EB" w14:textId="40968706" w:rsidR="00392BCF" w:rsidRPr="00B43B62"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{"citationID":"2bP5sYr5","properties":{"formattedCitation":"Asad Zaman, \\uc0\\u8216{}Islamic Economics: A Survey of the Literature: I\\uc0\\u8217{}, {\\i{}Islamic Studies} 48, no. 3 (2009): 395\\uc0\\u8211{}424.","plainCitation":"Asad Zaman, ‘Islamic Economics: A Survey of the Literature: I’, Islamic Studies 48, no. 3 (2009): 395–424.","noteIndex":9},"citationItems":[{"id":"ADEjw652/CcsuZ2cj","uris":["http://zotero.org/users/local/jmSsNa9d/items/DR6EGTYL"],"itemData":{"id":3850,"type":"article-journal","abstract":"A central thesis of this paper is that social science is the study of human experience, and hence is strongly conditioned by history. Modern Western political, economic and social structures have emerged as a consequence of the repudiation of religion associated with the Enlightenment and are based on secular principles. Many of these are discordant with Islamic principles and cannot be adapted to an Islamic society. Around the middle of the twentieth century Muslim societies successively achieved freedom from colonial rule where-after they sought to construct their collective institutions in conformity with the teachings of Islam. The development of Islamic economics is part of this process of gaining freedom from the stranglehold of Western colonial institutions. This paper is a survey of the literature on Islamic economics which focuses on the contrasts between Western economic theories and Islamic approaches to the organization of economic affairs.","container-title":"Islamic Studies","ISSN":"0578-8072","issue":"3","note":"publisher: Islamic Research Institute, International Islamic University, Islamabad","page":"395-424","source":"JSTOR","title":"Islamic Economics: A Survey of the Literature: I","title-short":"Islamic Economics","volume":"48","author":[{"family":"Zaman","given":"Asad"}],"issued":{"date-parts":[["2009"]]}}}],"schema":"https://github.com/citation-style-language/schema/raw/master/csl-citation.json"} </w:instrText>
      </w:r>
      <w:r>
        <w:fldChar w:fldCharType="separate"/>
      </w:r>
      <w:r w:rsidRPr="00392BCF">
        <w:rPr>
          <w:szCs w:val="24"/>
        </w:rPr>
        <w:t xml:space="preserve">Asad Zaman, ‘Islamic Economics: A Survey of the Literature: I’, </w:t>
      </w:r>
      <w:r w:rsidRPr="00392BCF">
        <w:rPr>
          <w:i/>
          <w:iCs/>
          <w:szCs w:val="24"/>
        </w:rPr>
        <w:t>Islamic Studies</w:t>
      </w:r>
      <w:r w:rsidRPr="00392BCF">
        <w:rPr>
          <w:szCs w:val="24"/>
        </w:rPr>
        <w:t xml:space="preserve"> 48, no. 3 (2009): 395–424.</w:t>
      </w:r>
      <w:r>
        <w:fldChar w:fldCharType="end"/>
      </w:r>
    </w:p>
  </w:footnote>
  <w:footnote w:id="10">
    <w:p w14:paraId="78C47B96" w14:textId="42990C61" w:rsidR="00392BCF" w:rsidRPr="00B43B62"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{"citationID":"xE7HHhHX","properties":{"formattedCitation":"Ahmad Zubaidi, \\uc0\\u8216{}Application of Qordh, Ijarah and Wakalah Bil Ujrah in Aqad Financing on Financial Tehcnology\\uc0\\u8217{}, {\\i{}Al-Risalah\\uc0\\u8239{}: Jurnal Studi Agama Dan Pemikiran Islam} 13, no. 1 (2022): 1\\uc0\\u8211{}15, https://doi.org/10.34005/alrisalah.v13i1.1716.","plainCitation":"Ahmad Zubaidi, ‘Application of Qordh, Ijarah and Wakalah Bil Ujrah in Aqad Financing on Financial Tehcnology’, Al-Risalah : Jurnal Studi Agama Dan Pemikiran Islam 13, no. 1 (2022): 1–15, https://doi.org/10.34005/alrisalah.v13i1.1716.","noteIndex":10},"citationItems":[{"id":"ADEjw652/1VAj6K6b","uris":["http://zotero.org/users/local/jmSsNa9d/items/B3K7HEVK"],"itemData":{"id":3851,"type":"article-journal","abstract":"Read on Neliti","container-title":"Al-Risalah : Jurnal Studi Agama dan Pemikiran Islam","DOI":"10.34005/alrisalah.v13i1.1716","ISSN":"2085-5818, 2686-2107","issue":"1","journalAbbreviation":"alrisalah","language":"en","license":"(c) Al-Risalah : Jurnal Studi Agama dan Pemikiran Islam, 2022","note":"publisher: Universitas Islam As-Syafi&amp;#39;iyah","page":"1-15","source":"www.neliti.com","title":"Application of Qordh, Ijarah and Wakalah Bil Ujrah in Aqad Financing on Financial Tehcnology","volume":"13","author":[{"family":"Zubaidi","given":"Ahmad"}],"issued":{"date-parts":[["2022"]]}}}],"schema":"https://github.com/citation-style-language/schema/raw/master/csl-citation.json"} </w:instrText>
      </w:r>
      <w:r>
        <w:fldChar w:fldCharType="separate"/>
      </w:r>
      <w:r w:rsidRPr="00392BCF">
        <w:rPr>
          <w:szCs w:val="24"/>
        </w:rPr>
        <w:t xml:space="preserve">Ahmad Zubaidi, ‘Application of Qordh, Ijarah and Wakalah Bil Ujrah in Aqad Financing on Financial Tehcnology’, </w:t>
      </w:r>
      <w:r w:rsidRPr="00392BCF">
        <w:rPr>
          <w:i/>
          <w:iCs/>
          <w:szCs w:val="24"/>
        </w:rPr>
        <w:t>Al-Risalah : Jurnal Studi Agama Dan Pemikiran Islam</w:t>
      </w:r>
      <w:r w:rsidRPr="00392BCF">
        <w:rPr>
          <w:szCs w:val="24"/>
        </w:rPr>
        <w:t xml:space="preserve"> 13, no. 1 (2022): 1–15, https://doi.org/10.34005/alrisalah.v13i1.1716.</w:t>
      </w:r>
      <w:r>
        <w:fldChar w:fldCharType="end"/>
      </w:r>
    </w:p>
  </w:footnote>
  <w:footnote w:id="11">
    <w:p w14:paraId="1B79C75E" w14:textId="33EAF3CE" w:rsidR="00392BCF" w:rsidRPr="005212D6"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{"citationID":"Tq2xum9w","properties":{"formattedCitation":"Eva Andriani et al., \\uc0\\u8216{}Maqashid Sharia, Business Ethics and Sharia Economic Transactions (A Review of the Hadith of the Prophet Muhammad)\\uc0\\u8217{}, {\\i{}International Journal of Economics (IJEC)} 2, no. 1 (30 June 2023): 135\\uc0\\u8211{}42, https://doi.org/10.55299/ijec.v2i1.427.","plainCitation":"Eva Andriani et al., ‘Maqashid Sharia, Business Ethics and Sharia Economic Transactions (A Review of the Hadith of the Prophet Muhammad)’, International Journal of Economics (IJEC) 2, no. 1 (30 June 2023): 135–42, https://doi.org/10.55299/ijec.v2i1.427.","noteIndex":11},"citationItems":[{"id":"ADEjw652/1zqeW5xo","uris":["http://zotero.org/users/local/jmSsNa9d/items/A7E9DMQH"],"itemData":{"id":3770,"type":"article-journal","abstract":"Business ethics in activities in the field of sharia economic transactions is the spearhead of realizing an ideal muamalah system, especially making maqashid syari'ah the main guide in business activities. The estuary in each transaction is the main assessment in the principle of the transaction, because if at the end of the transaction there is a right that is overridden then it becomes a problematic transaction.\nThe existence of maqashid syari'ah as a principle in business ethics and muamalah transactions has implications for maintaining the rights of each party involved in a transaction, so that in the end it ends in mutual consent ('antaradlin), in religious values ​​such a transaction is a transaction good things and have an impact on their safety in this world and the hereafter, because religion directs all activities to succeed in this world and the hereafter.","container-title":"International Journal of Economics (IJEC)","DOI":"10.55299/ijec.v2i1.427","ISSN":"2961-712X","issue":"1","language":"en","license":"Copyright (c) 2023 Eva Andriani, Muhammad Asad Mubarok Al Jauhari, Syovinatus Sholicha, Arifatul Ma'ani","note":"number: 1","page":"135-142","source":"ejournal.ipinternasional.com","title":"Maqashid Sharia, Business Ethics and Sharia Economic Transactions (A Review of the Hadith of the Prophet Muhammad)","volume":"2","author":[{"family":"Andriani","given":"Eva"},{"family":"Jauhari","given":"Muhammad Asad Mubarok Al"},{"family":"Sholicha","given":"Syovinatus"},{"family":"Ma'ani","given":"Arifatul"}],"issued":{"date-parts":[["2023",6,30]]}}}],"schema":"https://github.com/citation-style-language/schema/raw/master/csl-citation.json"} </w:instrText>
      </w:r>
      <w:r>
        <w:fldChar w:fldCharType="separate"/>
      </w:r>
      <w:r w:rsidRPr="00392BCF">
        <w:rPr>
          <w:szCs w:val="24"/>
        </w:rPr>
        <w:t xml:space="preserve">Eva Andriani et al., ‘Maqashid Sharia, Business Ethics and Sharia Economic Transactions (A Review of the Hadith of the Prophet Muhammad)’, </w:t>
      </w:r>
      <w:r w:rsidRPr="00392BCF">
        <w:rPr>
          <w:i/>
          <w:iCs/>
          <w:szCs w:val="24"/>
        </w:rPr>
        <w:t>International Journal of Economics (IJEC)</w:t>
      </w:r>
      <w:r w:rsidRPr="00392BCF">
        <w:rPr>
          <w:szCs w:val="24"/>
        </w:rPr>
        <w:t xml:space="preserve"> 2, no. 1 (30 June 2023): 135–42, https://doi.org/10.55299/ijec.v2i1.427.</w:t>
      </w:r>
      <w:r>
        <w:fldChar w:fldCharType="end"/>
      </w:r>
    </w:p>
  </w:footnote>
  <w:footnote w:id="12">
    <w:p w14:paraId="241B948A" w14:textId="2898A9D0"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Pr>
          <w:rFonts w:asciiTheme="majorBidi" w:hAnsiTheme="majorBidi" w:cstheme="majorBidi"/>
          <w:lang w:val="id-ID"/>
        </w:rPr>
        <w:instrText xml:space="preserve"> ADDIN ZOTERO_ITEM CSL_CITATION {"citationID":"LR0NMuaL","properties":{"formattedCitation":"Christopher Panal Lumban Gaol, \\uc0\\u8216{}Normative Juridical Review Regarding Bank Interest in Islamic Law\\uc0\\u8217{}, {\\i{}Journal of Progressive Law and Legal Studies} 1, no. 02 (21 May 2023): 66\\uc0\\u8211{}74, https://doi.org/10.59653/jplls.v1i02.30.","plainCitation":"Christopher Panal Lumban Gaol, ‘Normative Juridical Review Regarding Bank Interest in Islamic Law’, Journal of Progressive Law and Legal Studies 1, no. 02 (21 May 2023): 66–74, https://doi.org/10.59653/jplls.v1i02.30.","noteIndex":12},"citationItems":[{"id":"ADEjw652/CgBY3o5x","uris":["http://zotero.org/users/local/jmSsNa9d/items/TGNXS8HA"],"itemData":{"id":1204,"type":"article-journal","abstract":"This journal aims to examine the concept of bank interest (riba) within the framework of Islamic law (Sharia). The practice of charging and receiving interest has been a topic of significant debate and controversy among Islamic scholars and jurists. This paper provides an in-depth analysis of the philosophical underpinnings of bank interest in Islamic law, taking into account various perspectives and interpretations within the Islamic legal tradition. The journal begins by exploring the foundational principles of Islamic law and its ethical framework, highlighting the prohibition of riba as outlined in the Quran and the Hadith. It discusses the historical context and evolution of Islamic banking and finance, emphasizing the need for alternative financial mechanisms that comply with Islamic principles. The study then delves into the philosophical considerations surrounding bank interest from an Islamic legal perspective. It examines different schools of thought and the rationale behind their positions, including the arguments for and against the permissibility of bank interest. The utilitarian perspective evaluates the societal consequences of interest-based transactions, while the deontological approach emphasizes the adherence to moral principles. The contractualist viewpoint focuses on the voluntary agreements between parties, and the concept of justice and equality is examined in relation to interest-based transactions. Furthermore, the journal analyzes contemporary practices in Islamic banking and finance, including the development of Islamic financial instruments that adhere to Sharia principles. It explores the role of regulatory bodies in overseeing and ensuring compliance with Islamic law in the financial industry. The research concludes by synthesizing the diverse perspectives and providing a comprehensive understanding of the philosophical considerations surrounding bank interest in Islamic law. It emphasizes the importance of contextual interpretation and critical analysis within the Islamic legal tradition to address the challenges and complexities posed by modern financial systems.","container-title":"Journal of Progressive Law and Legal Studies","DOI":"10.59653/jplls.v1i02.30","ISSN":"2986-9145","issue":"02","language":"en","license":"Copyright (c) 2023 Christopher Panal Lumban Gaol","note":"number: 02","page":"66-74","source":"risetpress.com","title":"Normative Juridical Review Regarding Bank Interest in Islamic Law","volume":"1","author":[{"family":"Gaol","given":"Christopher Panal Lumban"}],"issued":{"date-parts":[["2023",5,21]]}}}],"schema":"https://github.com/citation-style-language/schema/raw/master/csl-citation.json"} </w:instrText>
      </w:r>
      <w:r w:rsidRPr="003A6BAF">
        <w:rPr>
          <w:rFonts w:asciiTheme="majorBidi" w:hAnsiTheme="majorBidi" w:cstheme="majorBidi"/>
        </w:rPr>
        <w:fldChar w:fldCharType="separate"/>
      </w:r>
      <w:r w:rsidRPr="00392BCF">
        <w:rPr>
          <w:szCs w:val="24"/>
          <w:lang w:val="id-ID"/>
        </w:rPr>
        <w:t xml:space="preserve">Christopher Panal Lumban Gaol, ‘Normative Juridical Review Regarding Bank Interest in Islamic Law’, </w:t>
      </w:r>
      <w:r w:rsidRPr="00392BCF">
        <w:rPr>
          <w:i/>
          <w:iCs/>
          <w:szCs w:val="24"/>
          <w:lang w:val="id-ID"/>
        </w:rPr>
        <w:t>Journal of Progressive Law and Legal Studies</w:t>
      </w:r>
      <w:r w:rsidRPr="00392BCF">
        <w:rPr>
          <w:szCs w:val="24"/>
          <w:lang w:val="id-ID"/>
        </w:rPr>
        <w:t xml:space="preserve"> 1, no. 02 (21 May 2023): 66–74, https://doi.org/10.59653/jplls.v1i02.30.</w:t>
      </w:r>
      <w:r w:rsidRPr="003A6BAF">
        <w:rPr>
          <w:rFonts w:asciiTheme="majorBidi" w:hAnsiTheme="majorBidi" w:cstheme="majorBidi"/>
        </w:rPr>
        <w:fldChar w:fldCharType="end"/>
      </w:r>
    </w:p>
  </w:footnote>
  <w:footnote w:id="13">
    <w:p w14:paraId="14A2BF72" w14:textId="6944DA03"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{"citationID":"DKoivkKn","properties":{"formattedCitation":"Ahmad Ilham Wahyudi, Muhammad Rizqi Manarul Haq, and Hasani Ahmad Said, \\uc0\\u8216{}The Richness Of Tafsir Al-Qur\\uc0\\u8217{}an: Methods In Interpreting The Verses Of The Qur\\uc0\\u8217{}an\\uc0\\u8217{}, {\\i{}Hunafa: Jurnal Studia Islamika} 20, no. 1 (20 June 2023): 155\\uc0\\u8211{}78, https://doi.org/10.24239/jsi.v20i1.690.155-178.","plainCitation":"Ahmad Ilham Wahyudi, Muhammad Rizqi Manarul Haq, and Hasani Ahmad Said, ‘The Richness Of Tafsir Al-Qur’an: Methods In Interpreting The Verses Of The Qur’an’, Hunafa: Jurnal Studia Islamika 20, no. 1 (20 June 2023): 155–78, https://doi.org/10.24239/jsi.v20i1.690.155-178.","noteIndex":13},"citationItems":[{"id":4698,"uris":["http://zotero.org/users/local/iFg5M8U2/items/ZYFL2ADZ"],"itemData":{"id":4698,"type":"article-journal","abstract":"This research intends to explore various treasures of Al-Qur'an interpretation related to the method of interpreting the verses of the Qur'an. This research is a qualitative research in the form of library research (Library Research). The primary data sources used are the Al-Qur'an and the book of Tafsir related to the methodology of al-Qur'an interpretation by al-Farmawi and M. Quraish Shihab. While the secondary data sources used are various scientific literature relevant to the core object of this research. This research includes conceptual research with a philosophical-normative approach. While the nature of this research approach is descriptive-analytic and prescriptive. The results of this study indicate that there are four methods of interpreting the verses of the Koran, namely the tahlÃ®li method, the maudhÃ»'i method, the ijÃ¢mlÃ® method, and the muqÃ¢ran method. In the development of interpretation, there are new methods of interpretation in the treasury of the science of exegesis as initiated by contemporary interpreters, namely the semi-maudhÃ®li tahlÃ®li interpretation method, the semi-tahlÃ®li maudhÃ»'i interpretation method, and the semi-tahlili ijÃ¢mlÃ® interpretation method.","container-title":"Hunafa: Jurnal Studia Islamika","DOI":"10.24239/jsi.v20i1.690.155-178","ISSN":"2355-7710","issue":"1","language":"id","license":"Copyright (c)","note":"number: 1","page":"155-178","source":"www.jurnalhunafa.org","title":"The Richness Of Tafsir Al-Qur’an: Methods In Interpreting The Verses Of The Qur'an","title-short":"THE RICHNESS OF TAFSIR AL-QURâ€™AN","volume":"20","author":[{"family":"Wahyudi","given":"Ahmad Ilham"},{"family":"Haq","given":"Muhammad Rizqi Manarul"},{"family":"Said","given":"Hasani Ahmad"}],"issued":{"date-parts":[["2023",6,20]]}}}],"schema":"https://github.com/citation-style-language/schema/raw/master/csl-citation.json"} </w:instrText>
      </w:r>
      <w:r w:rsidRPr="003A6BAF">
        <w:rPr>
          <w:rFonts w:asciiTheme="majorBidi" w:hAnsiTheme="majorBidi" w:cstheme="majorBidi"/>
        </w:rPr>
        <w:fldChar w:fldCharType="separate"/>
      </w:r>
      <w:r w:rsidRPr="00392BCF">
        <w:rPr>
          <w:szCs w:val="24"/>
        </w:rPr>
        <w:t xml:space="preserve">Ahmad Ilham Wahyudi, Muhammad Rizqi Manarul Haq, and Hasani Ahmad Said, ‘The Richness </w:t>
      </w:r>
      <w:proofErr w:type="gramStart"/>
      <w:r w:rsidRPr="00392BCF">
        <w:rPr>
          <w:szCs w:val="24"/>
        </w:rPr>
        <w:t>Of</w:t>
      </w:r>
      <w:proofErr w:type="gramEnd"/>
      <w:r w:rsidRPr="00392BCF">
        <w:rPr>
          <w:szCs w:val="24"/>
        </w:rPr>
        <w:t xml:space="preserve"> Tafsir Al-Qur’an: Methods In Interpreting The Verses Of The Qur’an’, </w:t>
      </w:r>
      <w:r w:rsidRPr="00392BCF">
        <w:rPr>
          <w:i/>
          <w:iCs/>
          <w:szCs w:val="24"/>
        </w:rPr>
        <w:t>Hunafa: Jurnal Studia Islamika</w:t>
      </w:r>
      <w:r w:rsidRPr="00392BCF">
        <w:rPr>
          <w:szCs w:val="24"/>
        </w:rPr>
        <w:t xml:space="preserve"> 20, no. 1 (20 June 2023): 155–78, https://doi.org/10.24239/jsi.v20i1.690.155-178.</w:t>
      </w:r>
      <w:r w:rsidRPr="003A6BAF">
        <w:rPr>
          <w:rFonts w:asciiTheme="majorBidi" w:hAnsiTheme="majorBidi" w:cstheme="majorBidi"/>
        </w:rPr>
        <w:fldChar w:fldCharType="end"/>
      </w:r>
    </w:p>
  </w:footnote>
  <w:footnote w:id="14">
    <w:p w14:paraId="001AC80D" w14:textId="39F58ED0"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{"citationID":"ou2u8zOb","properties":{"formattedCitation":"Apryan Anggara Pratama, \\uc0\\u8216{}Status Utang Apabila Pemilik Utang Meninggal Dunia Ditinjau Dari Hukum Islam Dan Peraturan Perundang-Undangan | Jurnal Hukum Magnum Opus\\uc0\\u8217{}, {\\i{}Jurnal Hukum Magnum Opus} 6, no. 1 (2023): 37\\uc0\\u8211{}46.","plainCitation":"Apryan Anggara Pratama, ‘Status Utang Apabila Pemilik Utang Meninggal Dunia Ditinjau Dari Hukum Islam Dan Peraturan Perundang-Undangan | Jurnal Hukum Magnum Opus’, Jurnal Hukum Magnum Opus 6, no. 1 (2023): 37–46.","noteIndex":14},"citationItems":[{"id":7695,"uris":["http://zotero.org/users/local/iFg5M8U2/items/PKCEHDRF"],"itemData":{"id":7695,"type":"article-journal","abstract":"Debt is an interesting loan agreement to discuss. In general, someone owes an debt caused by emergency needs, for example the need for medical expenses, school fees and so on, but not a few people owe it for business capital needs. Debt itself is common in society and includes something that is prone to problems in it, for example the case of the owner of the debt dies. Debt itself is common in society and includes something that is prone to problems in it, for example the case of the owner of the debt dies. Some people do not understand and end up ignoring the debt, of course, this is an unjustified action. The purpose of this study is to review the status of debt if in the condition that the owner of the debt has passed away from the perspective of Islamic law and laws and regulations. By using normative juridical research with a statutory study source approach and sourced from literature study materials from valid literature that is in accordance with the discussion and found that if the owner of the debt dies, the status of the debt must still be paid by the heirs by itself or automatically due to the law. Therefore the heirs can make repayment of the debt using the estate left by the heir who in this case is the owner of the debt. In the laws and regulations, the heirs can pursue legal remedies if the debt is deemed to be unable to be repaid, by refusing to accept the estate in court. Meanwhile, in Islamic law itself, it is highly emphasized that the debt is immediately repaid, especially by the heirs and if the heirs are incapacitated, the repayment can be assisted by relatives or acquaintances of the owner of the debt.\nKeywords: debt status; islamic law; statutory law\nAbstrak\nUtang merupakan perjanjian pinjaman yang menarik untuk dibahas. Pada umumnya seseorang berutang di sebabkan kebutuhan darurat, misalkan kebutuhan biaya pengobatan, biaya sekolah dan lain sebagainya, tetapi tidak sedikit seseorang berutang untuk kebutuhan modal usaha. Utang sendiri sudah umum terjadi di masyarakat dan termasuk sesuatu yang rawan permasalahan di dalamnya, misalnya kasuspemilik utang  meninggal dunia.  Utang sendiri  sudah umum terjadi di masyarakat dan termasuk sesuatu yang rawan permasalahan didalamnya, misalnya kasus pemilik utang meninggal dunia. Sebagian orang belum paham dan akhirnya mengabaikan utang tersebut, tentunya ini merupakan tindakan yang tidak dibenarkan. Tujuan penelitian ini adalah untuk meninjau status utang apabila dalam kondisi pemilik utang telah meninggal dunia dari perspektif hukum Islam dan peraturan perundang-undangan. Dengan menggunakan penelitianyuridis normatif dengan pendekatan sumber studi perundang-undangan dan bersumber pada bahan studi pustaka dari literatur-literatur valid yang sesuai bahasan dan menemukan bahwa apabila pemilik utang meninggal dunia, status utang tersebut tetap wajib dibayar oleh ahli warisdengan sendirinya atau secara otomatis dikarenakan hukum. Oleh karena itu ahli waris dapat melakukan pelunasan utang menggunakan harta warisan yang ditinggalkan pewaris yang di dalam hal ini adalah pemilik utang. Dalam peraturan perundang-undangan ahli waris dapatmelakukan upaya hukum apabila utang dirasa untuk tidak mampu dilunasi, dengan cara melakukan penolakan menerima harta warisan dipengadilan. Sedangkan di dalam hukum Islam sendiri, sangat ditekankan untuk utang tersebut segera dilunasi, khususnya oleh ahli waris danapabila ahli waris tidak mampu maka pelunasan dapat dibantu oleh kerabat atau kenalan si pemilik utang tersebut.\nKata kunci: hukum islam; hukum perundang-undangan; status utang","container-title":"Jurnal Hukum Magnum Opus","issue":"1","language":"en-US","page":"37-46","source":"jurnal.untag-sby.ac.id","title":"Status Utang Apabila Pemilik Utang Meninggal Dunia Ditinjau Dari Hukum Islam dan Peraturan Perundang-Undangan | Jurnal Hukum Magnum Opus","volume":"6","author":[{"family":"Pratama","given":"Apryan Anggara"}],"issued":{"date-parts":[["2023"]]}}}],"schema":"https://github.com/citation-style-language/schema/raw/master/csl-citation.json"} </w:instrText>
      </w:r>
      <w:r w:rsidRPr="003A6BAF">
        <w:rPr>
          <w:rFonts w:asciiTheme="majorBidi" w:hAnsiTheme="majorBidi" w:cstheme="majorBidi"/>
        </w:rPr>
        <w:fldChar w:fldCharType="separate"/>
      </w:r>
      <w:r w:rsidRPr="00392BCF">
        <w:rPr>
          <w:szCs w:val="24"/>
        </w:rPr>
        <w:t xml:space="preserve">Apryan Anggara Pratama, ‘Status Utang Apabila Pemilik Utang Meninggal Dunia Ditinjau Dari Hukum Islam Dan Peraturan Perundang-Undangan | Jurnal Hukum Magnum </w:t>
      </w:r>
      <w:proofErr w:type="gramStart"/>
      <w:r w:rsidRPr="00392BCF">
        <w:rPr>
          <w:szCs w:val="24"/>
        </w:rPr>
        <w:t>Opus’</w:t>
      </w:r>
      <w:proofErr w:type="gramEnd"/>
      <w:r w:rsidRPr="00392BCF">
        <w:rPr>
          <w:szCs w:val="24"/>
        </w:rPr>
        <w:t xml:space="preserve">, </w:t>
      </w:r>
      <w:r w:rsidRPr="00392BCF">
        <w:rPr>
          <w:i/>
          <w:iCs/>
          <w:szCs w:val="24"/>
        </w:rPr>
        <w:t>Jurnal Hukum Magnum Opus</w:t>
      </w:r>
      <w:r w:rsidRPr="00392BCF">
        <w:rPr>
          <w:szCs w:val="24"/>
        </w:rPr>
        <w:t xml:space="preserve"> 6, no. 1 (2023): 37–46.</w:t>
      </w:r>
      <w:r w:rsidRPr="003A6BAF">
        <w:rPr>
          <w:rFonts w:asciiTheme="majorBidi" w:hAnsiTheme="majorBidi" w:cstheme="majorBidi"/>
        </w:rPr>
        <w:fldChar w:fldCharType="end"/>
      </w:r>
    </w:p>
  </w:footnote>
  <w:footnote w:id="15">
    <w:p w14:paraId="1CC49598" w14:textId="4CE3C877"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{"citationID":"UYB8V4Cb","properties":{"formattedCitation":"Kelvin Mwita, \\uc0\\u8216{}Factors to Consider When Choosing Data Collection Methods\\uc0\\u8217{}, {\\i{}International Journal of Research in Business and Social Science (2147- 4478)} 11, no. 5 (29 June 2022): 532\\uc0\\u8211{}38, https://doi.org/10.20525/ijrbs.v11i5.1842.","plainCitation":"Kelvin Mwita, ‘Factors to Consider When Choosing Data Collection Methods’, International Journal of Research in Business and Social Science (2147- 4478) 11, no. 5 (29 June 2022): 532–38, https://doi.org/10.20525/ijrbs.v11i5.1842.","noteIndex":15},"citationItems":[{"id":7698,"uris":["http://zotero.org/users/local/iFg5M8U2/items/5L9QEK6F"],"itemData":{"id":7698,"type":"article-journal","abstract":"Novice and experienced researchers may encounter numerous methodological challenges when it comes to data collection. Data have to be collected from the right sources using appropriate data collection tools to make research studies impactful. There are numerous data collection methods that researchers may use but not all methods are appropriate for all research studies. Choosing inappropriate research methods may result in invalid research findings and lead to erroneous conclusions. This means researchers have to carefully choose data collection methods to make their studies achieve their respective goals. This study intended to identify factors that researchers have to consider in choosing data collection methods. A systematic literature review was used to analyze 28 journal articles published between 2018 and 2022. From the analysis the study identified ten (10) factors that researchers have to consider in choosing data collection methods. These factors are; the research goal, the scope of the study, sample size, type of data, time and user-friendliness to the subjects. Other factors are research approach, safety and security of a researcher, the need for triangulation and theoretical framework. Before choosing methods for data collection, it is important to put into consideration these factors to increase the chances of achieving research objectives and answering research questions of research projects.","container-title":"International Journal of Research in Business and Social Science (2147- 4478)","DOI":"10.20525/ijrbs.v11i5.1842","ISSN":"2147-4478","issue":"5","language":"en","license":"Copyright (c) 2022 Kelvin Mwita","note":"number: 5","page":"532-538","source":"www.ssbfnet.com","title":"Factors to consider when choosing data collection methods","volume":"11","author":[{"family":"Mwita","given":"Kelvin"}],"issued":{"date-parts":[["2022",6,29]]}}}],"schema":"https://github.com/citation-style-language/schema/raw/master/csl-citation.json"} </w:instrText>
      </w:r>
      <w:r w:rsidRPr="003A6BAF">
        <w:rPr>
          <w:rFonts w:asciiTheme="majorBidi" w:hAnsiTheme="majorBidi" w:cstheme="majorBidi"/>
        </w:rPr>
        <w:fldChar w:fldCharType="separate"/>
      </w:r>
      <w:r w:rsidRPr="00392BCF">
        <w:rPr>
          <w:szCs w:val="24"/>
        </w:rPr>
        <w:t xml:space="preserve">Kelvin Mwita, ‘Factors to Consider When Choosing Data Collection Methods’, </w:t>
      </w:r>
      <w:r w:rsidRPr="00392BCF">
        <w:rPr>
          <w:i/>
          <w:iCs/>
          <w:szCs w:val="24"/>
        </w:rPr>
        <w:t>International Journal of Research in Business and Social Science (2147- 4478)</w:t>
      </w:r>
      <w:r w:rsidRPr="00392BCF">
        <w:rPr>
          <w:szCs w:val="24"/>
        </w:rPr>
        <w:t xml:space="preserve"> 11, no. 5 (29 June 2022): 532–38, https://doi.org/10.20525/ijrbs.v11i5.1842.</w:t>
      </w:r>
      <w:r w:rsidRPr="003A6BAF">
        <w:rPr>
          <w:rFonts w:asciiTheme="majorBidi" w:hAnsiTheme="majorBidi" w:cstheme="majorBidi"/>
        </w:rPr>
        <w:fldChar w:fldCharType="end"/>
      </w:r>
    </w:p>
  </w:footnote>
  <w:footnote w:id="16">
    <w:p w14:paraId="58E930D2" w14:textId="0549F1F8"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92BCF">
        <w:rPr>
          <w:rFonts w:asciiTheme="majorBidi" w:hAnsiTheme="majorBidi" w:cstheme="majorBidi"/>
          <w:lang w:val="id-ID"/>
        </w:rPr>
        <w:t xml:space="preserve"> </w:t>
      </w:r>
      <w:r w:rsidRPr="003A6BAF">
        <w:rPr>
          <w:rFonts w:asciiTheme="majorBidi" w:hAnsiTheme="majorBidi" w:cstheme="majorBidi"/>
        </w:rPr>
        <w:fldChar w:fldCharType="begin"/>
      </w:r>
      <w:r w:rsidRPr="00392BCF">
        <w:rPr>
          <w:rFonts w:asciiTheme="majorBidi" w:hAnsiTheme="majorBidi" w:cstheme="majorBidi"/>
          <w:lang w:val="id-ID"/>
        </w:rPr>
        <w:instrText xml:space="preserve"> ADDIN ZOTERO_ITEM CSL_CITATION {"citationID":"OMv09AC9","properties":{"formattedCitation":"Ihsan Ali et al., \\uc0\\u8216{}Data Collection in Studies on Internet of Things (IoT), Wireless Sensor Networks (WSNs), and Sensor Cloud (SC): Similarities and Differences\\uc0\\u8217{}, {\\i{}IEEE Access} 10 (2022): 33909\\uc0\\u8211{}31, https://doi.org/10.1109/ACCESS.2022.3161929.","plainCitation":"Ihsan Ali et al., ‘Data Collection in Studies on Internet of Things (IoT), Wireless Sensor Networks (WSNs), and Sensor Cloud (SC): Similarities and Differences’, IEEE Access 10 (2022): 33909–31, https://doi.org/10.1109/ACCESS.2022.3161929.","noteIndex":16},"citationItems":[{"id":7700,"uris":["http://zotero.org/users/local/iFg5M8U2/items/2U98UBE6"],"itemData":{"id":7700,"type":"article-journal","abstract":"Data collection is an essential part of sensor devices, particularly in such technologies like Internet of Things (IoT), wireless sensor networks (WSN), and sensor cloud (SC). In recent years, various literature had been published in these research areas to propose different models, architectures, and contributions in the domains. Due to the importance of efficient data collection regarding reducing energy consumption, latency, network lifetime, and general cost, a momentous literature volume has been published to facilitate data collection. Hence, review studies have been conducted on data collection in these domains in isolation. However, a lack of comprehensive review collectively identifies and analyzes the differences and similarities among the data collection proposals in IoT, WSN, and SC. The main objective of this research is to conduct a comprehensive survey to explore the current state, use cases, contributions, performance measures, evaluation measures, and architecture in the IoT, WSN, and SC research domains. The findings indicate that studies on data collection in IoT, WSN, and SC are relatively consistent with stable output in the last five years. Nine novel contributions are found with models, algorithms, and frameworks being the most utilized by the selected studies. In conclusion, key research challenges and future research directions have been identified and discussed.","container-title":"IEEE Access","DOI":"10.1109/ACCESS.2022.3161929","ISSN":"2169-3536","note":"event-title: IEEE Access","page":"33909-33931","source":"IEEE Xplore","title":"Data Collection in Studies on Internet of Things (IoT), Wireless Sensor Networks (WSNs), and Sensor Cloud (SC): Similarities and Differences","title-short":"Data Collection in Studies on Internet of Things (IoT), Wireless Sensor Networks (WSNs), and Sensor Cloud (SC)","volume":"10","author":[{"family":"Ali","given":"Ihsan"},{"family":"Ahmedy","given":"Ismail"},{"family":"Gani","given":"Abdullah"},{"family":"Munir","given":"Muhammad Umair"},{"family":"Anisi","given":"Mohammad Hossein"}],"issued":{"date-parts":[["2022"]]}}}],"schema":"https://github.com/citation-style-language/schema/raw/master/csl-citation.json"} </w:instrText>
      </w:r>
      <w:r w:rsidRPr="003A6BAF">
        <w:rPr>
          <w:rFonts w:asciiTheme="majorBidi" w:hAnsiTheme="majorBidi" w:cstheme="majorBidi"/>
        </w:rPr>
        <w:fldChar w:fldCharType="separate"/>
      </w:r>
      <w:r w:rsidRPr="00392BCF">
        <w:rPr>
          <w:szCs w:val="24"/>
          <w:lang w:val="id-ID"/>
        </w:rPr>
        <w:t xml:space="preserve">Ihsan Ali et al., ‘Data Collection in Studies on Internet of Things (IoT), Wireless Sensor Networks (WSNs), and Sensor Cloud (SC): Similarities and Differences’, </w:t>
      </w:r>
      <w:r w:rsidRPr="00392BCF">
        <w:rPr>
          <w:i/>
          <w:iCs/>
          <w:szCs w:val="24"/>
          <w:lang w:val="id-ID"/>
        </w:rPr>
        <w:t>IEEE Access</w:t>
      </w:r>
      <w:r w:rsidRPr="00392BCF">
        <w:rPr>
          <w:szCs w:val="24"/>
          <w:lang w:val="id-ID"/>
        </w:rPr>
        <w:t xml:space="preserve"> 10 (2022): 33909–31, https://doi.org/10.1109/ACCESS.2022.3161929.</w:t>
      </w:r>
      <w:r w:rsidRPr="003A6BAF">
        <w:rPr>
          <w:rFonts w:asciiTheme="majorBidi" w:hAnsiTheme="majorBidi" w:cstheme="majorBidi"/>
        </w:rPr>
        <w:fldChar w:fldCharType="end"/>
      </w:r>
    </w:p>
  </w:footnote>
  <w:footnote w:id="17">
    <w:p w14:paraId="1118E982" w14:textId="7E923670"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{"citationID":"x3bW4pSy","properties":{"formattedCitation":"Michail Giannakos, \\uc0\\u8216{}Data Collection and Analysis in Learning Technology and CCI\\uc0\\u160{}Research\\uc0\\u8217{}, in {\\i{}Experimental Studies in Learning Technology and Child\\uc0\\u8211{}Computer Interaction}, ed. Michail Giannakos (Cham: Springer International Publishing, 2022), 47\\uc0\\u8211{}67, https://doi.org/10.1007/978-3-031-14350-2_6.","plainCitation":"Michail Giannakos, ‘Data Collection and Analysis in Learning Technology and CCI Research’, in Experimental Studies in Learning Technology and Child–Computer Interaction, ed. Michail Giannakos (Cham: Springer International Publishing, 2022), 47–67, https://doi.org/10.1007/978-3-031-14350-2_6.","noteIndex":17},"citationItems":[{"id":7703,"uris":["http://zotero.org/users/local/iFg5M8U2/items/6W8L9DHQ"],"itemData":{"id":7703,"type":"chapter","abstract":"Conducting experimental studies in learning technology and CCI research entails an iterative process of observation, rationalization, and validation. Although data collection and data analysis procedures may vary widely in complexity, their selection is based on the research objectives, RQs or hypotheses. So the researchers need to carefully select them and make sure that the research design decisions of data collection and analysis, are adequate for the goals of the study. This chapter provides information on the various data collections and analyses that are usually employed in learning technology and CCI research. This chapter is intended to serve as a guide for CCI and learning technology researchers, and help them deciding what data they need to collect and how they should analyze them to address the goals of their study.","container-title":"Experimental Studies in Learning Technology and Child–Computer Interaction","event-place":"Cham","ISBN":"978-3-031-14350-2","language":"en","note":"DOI: 10.1007/978-3-031-14350-2_6","page":"47-67","publisher":"Springer International Publishing","publisher-place":"Cham","source":"Springer Link","title":"Data Collection and Analysis in Learning Technology and CCI Research","URL":"https://doi.org/10.1007/978-3-031-14350-2_6","author":[{"family":"Giannakos","given":"Michail"}],"editor":[{"family":"Giannakos","given":"Michail"}],"accessed":{"date-parts":[["2024",6,9]]},"issued":{"date-parts":[["2022"]]}}}],"schema":"https://github.com/citation-style-language/schema/raw/master/csl-citation.json"} </w:instrText>
      </w:r>
      <w:r w:rsidRPr="003A6BAF">
        <w:rPr>
          <w:rFonts w:asciiTheme="majorBidi" w:hAnsiTheme="majorBidi" w:cstheme="majorBidi"/>
        </w:rPr>
        <w:fldChar w:fldCharType="separate"/>
      </w:r>
      <w:r w:rsidRPr="00392BCF">
        <w:rPr>
          <w:szCs w:val="24"/>
        </w:rPr>
        <w:t xml:space="preserve">Michail Giannakos, ‘Data Collection and Analysis in Learning Technology and CCI Research’, in </w:t>
      </w:r>
      <w:r w:rsidRPr="00392BCF">
        <w:rPr>
          <w:i/>
          <w:iCs/>
          <w:szCs w:val="24"/>
        </w:rPr>
        <w:t>Experimental Studies in Learning Technology and Child–Computer Interaction</w:t>
      </w:r>
      <w:r w:rsidRPr="00392BCF">
        <w:rPr>
          <w:szCs w:val="24"/>
        </w:rPr>
        <w:t>, ed. Michail Giannakos (Cham: Springer International Publishing, 2022), 47–67, https://doi.org/10.1007/978-3-031-14350-2_6.</w:t>
      </w:r>
      <w:r w:rsidRPr="003A6BAF">
        <w:rPr>
          <w:rFonts w:asciiTheme="majorBidi" w:hAnsiTheme="majorBidi" w:cstheme="majorBidi"/>
        </w:rPr>
        <w:fldChar w:fldCharType="end"/>
      </w:r>
    </w:p>
  </w:footnote>
  <w:footnote w:id="18">
    <w:p w14:paraId="6F42152C" w14:textId="3586EE48" w:rsidR="005875DA" w:rsidRPr="005875DA" w:rsidRDefault="005875DA" w:rsidP="00773BDE">
      <w:pPr>
        <w:pStyle w:val="FootnoteText"/>
        <w:ind w:firstLine="709"/>
        <w:rPr>
          <w:lang w:val="id-ID"/>
        </w:rPr>
      </w:pPr>
      <w:r>
        <w:rPr>
          <w:rStyle w:val="FootnoteReference"/>
        </w:rPr>
        <w:footnoteRef/>
      </w:r>
      <w:r>
        <w:t xml:space="preserve"> </w:t>
      </w:r>
      <w:r>
        <w:fldChar w:fldCharType="begin"/>
      </w:r>
      <w:r>
        <w:instrText xml:space="preserve"> ADDIN ZOTERO_ITEM CSL_CITATION {"citationID":"a25nt56e80i","properties":{"formattedCitation":"Ahmad Sainul, \\uc0\\u8216{}Konsep Hak Milik Dalam Islam\\uc0\\u8217{}, {\\i{}Jurnal Al-Maqasid: Jurnal Ilmu-Ilmu Kesyariahan dan Keperdataan} 6, no. 2 (2020): 196\\uc0\\u8211{}208.","plainCitation":"Ahmad Sainul, ‘Konsep Hak Milik Dalam Islam’, Jurnal Al-Maqasid: Jurnal Ilmu-Ilmu Kesyariahan dan Keperdataan 6, no. 2 (2020): 196–208.","noteIndex":18},"citationItems":[{"id":7300,"uris":["http://zotero.org/users/local/iFg5M8U2/items/4LPIZIEG"],"itemData":{"id":7300,"type":"article-journal","container-title":"Jurnal Al-Maqasid: Jurnal Ilmu-Ilmu Kesyariahan dan Keperdataan","issue":"2","language":"id","page":"196-208","source":"Zotero","title":"Konsep Hak Milik Dalam Islam","volume":"6","author":[{"family":"Sainul","given":"Ahmad"}],"issued":{"date-parts":[["2020"]]}}}],"schema":"https://github.com/citation-style-language/schema/raw/master/csl-citation.json"} </w:instrText>
      </w:r>
      <w:r>
        <w:fldChar w:fldCharType="separate"/>
      </w:r>
      <w:r w:rsidRPr="005875DA">
        <w:rPr>
          <w:szCs w:val="24"/>
        </w:rPr>
        <w:t xml:space="preserve">Ahmad Sainul, ‘Konsep Hak Milik Dalam Islam’, </w:t>
      </w:r>
      <w:proofErr w:type="gramStart"/>
      <w:r w:rsidRPr="005875DA">
        <w:rPr>
          <w:i/>
          <w:iCs/>
          <w:szCs w:val="24"/>
        </w:rPr>
        <w:t>Jurnal</w:t>
      </w:r>
      <w:proofErr w:type="gramEnd"/>
      <w:r w:rsidRPr="005875DA">
        <w:rPr>
          <w:i/>
          <w:iCs/>
          <w:szCs w:val="24"/>
        </w:rPr>
        <w:t xml:space="preserve"> Al-Maqasid: Jurnal Ilmu-Ilmu Kesyariahan dan Keperdataan</w:t>
      </w:r>
      <w:r w:rsidRPr="005875DA">
        <w:rPr>
          <w:szCs w:val="24"/>
        </w:rPr>
        <w:t xml:space="preserve"> 6, no. 2 (2020): 196–208.</w:t>
      </w:r>
      <w:r>
        <w:fldChar w:fldCharType="end"/>
      </w:r>
    </w:p>
  </w:footnote>
  <w:footnote w:id="19">
    <w:p w14:paraId="10592DBA" w14:textId="0232F4EA" w:rsidR="00392BCF" w:rsidRPr="001E6DA7"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{"citationID":"PTZTbden","properties":{"formattedCitation":"Tatik Nurhasanah, \\uc0\\u8216{}Mengenal Riba Dalam Etika Ekonomi Islam\\uc0\\u8217{}, {\\i{}J-MAS (Jurnal Manajemen Dan Sains)} 8, no. 1 (29 April 2023): 164\\uc0\\u8211{}69, https://doi.org/10.33087/jmas.v8i1.940.","plainCitation":"Tatik Nurhasanah, ‘Mengenal Riba Dalam Etika Ekonomi Islam’, J-MAS (Jurnal Manajemen Dan Sains) 8, no. 1 (29 April 2023): 164–69, https://doi.org/10.33087/jmas.v8i1.940.","noteIndex":19},"citationItems":[{"id":"ADEjw652/hVglvPtj","uris":["http://zotero.org/users/local/jmSsNa9d/items/8LV8HZ59"],"itemData":{"id":3867,"type":"article-journal","abstract":"Riba is an economic system that is opposed in Islam. However, in practice, usury remains a habit that is considered profitable. Removing the usury system is not an easy matter. Weak economic communities often have no choice when dealing with capital needs, and consider usury the only way out. However, it seems that the attraction of the usury system is not only fertile among the economically weak, but is evenly distributed in all groups of society. The purpose of this study is to find out the problem of the lack of understanding in the Muslim community about what is usury and what are its types. This results in the practice of usury but the perpetrators do not understand that what they are doing is usury. Even worse, in fact, usury has become an economic habit that is commonly practiced by many people even though that person already knows that it is usury. Not because of denying the prohibition of usury, but rather because of the inability to avoid the usury system that is already spreading. The method in this research is qualitative using literature review. Data collection was carried out by taking sources from various articles in the form of journals or books and relevant writings. And the results of this study can be seen that usury in Islamic economic ethics is strictly prohibited and must be abandoned. This is because the law of usury is unlawful and based on injustice.","container-title":"J-MAS (Jurnal Manajemen dan Sains)","DOI":"10.33087/jmas.v8i1.940","ISSN":"2541-6243","issue":"1","language":"en","license":"Copyright (c) 2023 J-MAS (Jurnal Manajemen dan Sains)","note":"number: 1","page":"164-169","source":"jmas.unbari.ac.id","title":"Mengenal Riba dalam Etika Ekonomi Islam","volume":"8","author":[{"family":"Nurhasanah","given":"Tatik"}],"issued":{"date-parts":[["2023",4,29]]}}}],"schema":"https://github.com/citation-style-language/schema/raw/master/csl-citation.json"} </w:instrText>
      </w:r>
      <w:r>
        <w:fldChar w:fldCharType="separate"/>
      </w:r>
      <w:r w:rsidRPr="00392BCF">
        <w:rPr>
          <w:szCs w:val="24"/>
        </w:rPr>
        <w:t xml:space="preserve">Tatik Nurhasanah, ‘Mengenal Riba Dalam Etika Ekonomi Islam’, </w:t>
      </w:r>
      <w:r w:rsidRPr="00392BCF">
        <w:rPr>
          <w:i/>
          <w:iCs/>
          <w:szCs w:val="24"/>
        </w:rPr>
        <w:t>J-MAS (Jurnal Manajemen Dan Sains)</w:t>
      </w:r>
      <w:r w:rsidRPr="00392BCF">
        <w:rPr>
          <w:szCs w:val="24"/>
        </w:rPr>
        <w:t xml:space="preserve"> 8, </w:t>
      </w:r>
      <w:proofErr w:type="gramStart"/>
      <w:r w:rsidRPr="00392BCF">
        <w:rPr>
          <w:szCs w:val="24"/>
        </w:rPr>
        <w:t>no</w:t>
      </w:r>
      <w:proofErr w:type="gramEnd"/>
      <w:r w:rsidRPr="00392BCF">
        <w:rPr>
          <w:szCs w:val="24"/>
        </w:rPr>
        <w:t>. 1 (29 April 2023): 164–69, https://doi.org/10.33087/jmas.v8i1.940.</w:t>
      </w:r>
      <w:r>
        <w:fldChar w:fldCharType="end"/>
      </w:r>
    </w:p>
  </w:footnote>
  <w:footnote w:id="20">
    <w:p w14:paraId="483BEC58" w14:textId="640C700D" w:rsidR="00392BCF" w:rsidRPr="001E6DA7"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{"citationID":"oYlhJZjB","properties":{"formattedCitation":"Saiddaeni Saiddaeni, \\uc0\\u8216{}Meninjau Kembali Definisi Riba Era Modern, Pinjaman Uang Kartal (FIAT) Perspektif Studi Islam Fiqih Kontemporer\\uc0\\u8217{}, {\\i{}Madinah: Jurnal Studi Islam} 10, no. 1 (12 June 2023): 58\\uc0\\u8211{}69, https://doi.org/10.58518/madinah.v10i1.1549.","plainCitation":"Saiddaeni Saiddaeni, ‘Meninjau Kembali Definisi Riba Era Modern, Pinjaman Uang Kartal (FIAT) Perspektif Studi Islam Fiqih Kontemporer’, Madinah: Jurnal Studi Islam 10, no. 1 (12 June 2023): 58–69, https://doi.org/10.58518/madinah.v10i1.1549.","noteIndex":20},"citationItems":[{"id":"ADEjw652/Ggyfc7id","uris":["http://zotero.org/users/local/jmSsNa9d/items/M3PQZQSL"],"itemData":{"id":3869,"type":"article-journal","abstract":"This article aims to understand the differences in the definition of usury between the time of the Prophet Muhammad and today because it influences the views and laws regarding usury in society. It is important for the parties involved to understand the risks and consequences associated with currency fluctuations before entering into such transactions. As Muslims, understanding how usury is applied in today's context is important in carrying out financial practices that are in accordance with Islamic religious principles. This article uses a literature study method by analyzing a comparative study of the understanding of usury at the time of the Prophet Muhammad with usury in modern times that uses currency (fiat), referring to the book of fiqh in looking at the definition of usury which currently needs to be reviewed. The main purpose of religion forbidding usury is to maintain justice and avoid charging unfair interest, while taking into account risks and other relevant factors in financial transactions. In practice, an understanding of Islamic financial instruments helps choose financial products with sharia principles. So that you can choose a loan that does not involve usury (interest) orgharar (uncertainty) in transactions.","container-title":"Madinah: Jurnal Studi Islam","DOI":"10.58518/madinah.v10i1.1549","ISSN":"2620-9497","issue":"1","language":"en","license":"Copyright (c) 2023 Saiddaeni Saiddaeni","note":"number: 1","page":"58-69","source":"ejournal.iai-tabah.ac.id","title":"Meninjau Kembali Definisi Riba Era Modern, Pinjaman Uang Kartal (FIAT) Perspektif Studi Islam Fiqih Kontemporer","volume":"10","author":[{"family":"Saiddaeni","given":"Saiddaeni"}],"issued":{"date-parts":[["2023",6,12]]}}}],"schema":"https://github.com/citation-style-language/schema/raw/master/csl-citation.json"} </w:instrText>
      </w:r>
      <w:r>
        <w:fldChar w:fldCharType="separate"/>
      </w:r>
      <w:r w:rsidRPr="00392BCF">
        <w:rPr>
          <w:szCs w:val="24"/>
        </w:rPr>
        <w:t xml:space="preserve">Saiddaeni Saiddaeni, ‘Meninjau Kembali Definisi Riba Era Modern, Pinjaman Uang Kartal (FIAT) Perspektif Studi Islam Fiqih Kontemporer’, </w:t>
      </w:r>
      <w:r w:rsidRPr="00392BCF">
        <w:rPr>
          <w:i/>
          <w:iCs/>
          <w:szCs w:val="24"/>
        </w:rPr>
        <w:t>Madinah: Jurnal Studi Islam</w:t>
      </w:r>
      <w:r w:rsidRPr="00392BCF">
        <w:rPr>
          <w:szCs w:val="24"/>
        </w:rPr>
        <w:t xml:space="preserve"> 10, no. 1 (12 June 2023): 58–69, https://doi.org/10.58518/madinah.v10i1.1549.</w:t>
      </w:r>
      <w:r>
        <w:fldChar w:fldCharType="end"/>
      </w:r>
    </w:p>
  </w:footnote>
  <w:footnote w:id="21">
    <w:p w14:paraId="3DE6D984" w14:textId="532A6E96" w:rsidR="00392BCF" w:rsidRPr="001E6DA7" w:rsidRDefault="00392BCF" w:rsidP="00773BDE">
      <w:pPr>
        <w:pStyle w:val="FootnoteText"/>
        <w:ind w:firstLine="709"/>
        <w:jc w:val="lowKashida"/>
        <w:rPr>
          <w:lang w:val="id-ID"/>
        </w:rPr>
      </w:pPr>
      <w:r>
        <w:rPr>
          <w:rStyle w:val="FootnoteReference"/>
        </w:rPr>
        <w:footnoteRef/>
      </w:r>
      <w:r>
        <w:t xml:space="preserve"> </w:t>
      </w:r>
      <w:r>
        <w:fldChar w:fldCharType="begin"/>
      </w:r>
      <w:r w:rsidR="005875DA">
        <w:instrText xml:space="preserve"> ADDIN ZOTERO_ITEM CSL_CITATION {"citationID":"cXCSXBjq","properties":{"formattedCitation":"Krueger Tumiwa, R\\uc0\\u252{}diger Lohlker, and Telsy Samad, \\uc0\\u8216{}THE DISCOURSE OF USURY IN THE VIEWS OF ISLAM AND CHRISTIANITY\\uc0\\u8217{}, {\\i{}Tasharruf: Journal Economics and Business of Islam} 7, no. 2 (31 December 2022): 185\\uc0\\u8211{}97, https://doi.org/10.30984/tjebi.v7i2.2314.","plainCitation":"Krueger Tumiwa, Rüdiger Lohlker, and Telsy Samad, ‘THE DISCOURSE OF USURY IN THE VIEWS OF ISLAM AND CHRISTIANITY’, Tasharruf: Journal Economics and Business of Islam 7, no. 2 (31 December 2022): 185–97, https://doi.org/10.30984/tjebi.v7i2.2314.","dontUpdate":true,"noteIndex":21},"citationItems":[{"id":"ADEjw652/YXFdTJwg","uris":["http://zotero.org/users/local/jmSsNa9d/items/RZLTB2EL"],"itemData":{"id":3871,"type":"article-journal","abstract":"Before the emergence of Abrahamic religion, the population in the past experienced both economic calamity and humanitarian crisis as a result of usury practices. Various historical studies reveal that the Babylonian period was an era where human civilization showed dreadful facts as a result of usury praxis. This study focuses on Islamic and Christianity views of usury in economic activities. This paper aims to examine usury starting from semantic discussions to usury practices which are closely related to economic activity from both an Islamic and Christianity perspective. The method used in this paper is a qualitative method with a literature study approach taken from various national and international sources, namely books and journals and citing explanations from the Bible and Qur’an. The results of this research reveal that in Christianity, the study and prohibition of usury practices are mostly discussed in the Old Testament in Deuteronomy, Exodus dan Leviticus, while the New Testament tends to discuss things that need to be done to avoid usury practices. Associated with the economy in general in Christianity refers to the practice of lending money (loans) to those in need without asking for interest or additional returns as a form of profit. Meanwhile, in Islam, the discourse of usury can be found in al-Baqarah, al ‘Imran, al-Nissa‘, al-Rum and the kind of prohibited Usury in is Riba Nasiah, Fadhl and Jahiliyyah which related to purchases and loans.","container-title":"Tasharruf: Journal Economics and Business of Islam","DOI":"10.30984/tjebi.v7i2.2314","ISSN":"2528-0325","issue":"2","language":"en","license":"Copyright (c) 2023 Tasharruf: Journal Economics and Business of Islam","note":"number: 2","page":"185-197","source":"journal.iain-manado.ac.id","title":"THE DISCOURSE OF USURY IN THE VIEWS OF ISLAM AND CHRISTIANITY","volume":"7","author":[{"family":"Tumiwa","given":"Krueger"},{"family":"Lohlker","given":"Rüdiger"},{"family":"Samad","given":"Telsy"}],"issued":{"date-parts":[["2022",12,31]]}}}],"schema":"https://github.com/citation-style-language/schema/raw/master/csl-citation.json"} </w:instrText>
      </w:r>
      <w:r>
        <w:fldChar w:fldCharType="separate"/>
      </w:r>
      <w:r w:rsidRPr="00392BCF">
        <w:rPr>
          <w:szCs w:val="24"/>
        </w:rPr>
        <w:t>Krueger Tumiwa, Rüdiger Lohlker, and Telsy Samad, ‘</w:t>
      </w:r>
      <w:r w:rsidR="005875DA" w:rsidRPr="00392BCF">
        <w:rPr>
          <w:szCs w:val="24"/>
        </w:rPr>
        <w:t xml:space="preserve">The Discourse </w:t>
      </w:r>
      <w:proofErr w:type="gramStart"/>
      <w:r w:rsidR="005875DA" w:rsidRPr="00392BCF">
        <w:rPr>
          <w:szCs w:val="24"/>
        </w:rPr>
        <w:t>Of Usury In The Views Of Islam And</w:t>
      </w:r>
      <w:proofErr w:type="gramEnd"/>
      <w:r w:rsidR="005875DA" w:rsidRPr="00392BCF">
        <w:rPr>
          <w:szCs w:val="24"/>
        </w:rPr>
        <w:t xml:space="preserve"> Christianity</w:t>
      </w:r>
      <w:r w:rsidRPr="00392BCF">
        <w:rPr>
          <w:szCs w:val="24"/>
        </w:rPr>
        <w:t xml:space="preserve">’, </w:t>
      </w:r>
      <w:r w:rsidRPr="00392BCF">
        <w:rPr>
          <w:i/>
          <w:iCs/>
          <w:szCs w:val="24"/>
        </w:rPr>
        <w:t>Tasharruf: Journal Economics and Business of Islam</w:t>
      </w:r>
      <w:r w:rsidRPr="00392BCF">
        <w:rPr>
          <w:szCs w:val="24"/>
        </w:rPr>
        <w:t xml:space="preserve"> 7, no. 2 (31 December 2022): 185–97, https://doi.org/10.30984/tjebi.v7i2.2314.</w:t>
      </w:r>
      <w:r>
        <w:fldChar w:fldCharType="end"/>
      </w:r>
    </w:p>
  </w:footnote>
  <w:footnote w:id="22">
    <w:p w14:paraId="5C3365DB" w14:textId="2C06491C" w:rsidR="00392BCF" w:rsidRPr="003127C5" w:rsidRDefault="00392BCF" w:rsidP="00773BDE">
      <w:pPr>
        <w:pStyle w:val="FootnoteText"/>
        <w:ind w:firstLine="709"/>
        <w:jc w:val="lowKashida"/>
        <w:rPr>
          <w:lang w:val="id-ID"/>
        </w:rPr>
      </w:pPr>
      <w:r>
        <w:rPr>
          <w:rStyle w:val="FootnoteReference"/>
        </w:rPr>
        <w:footnoteRef/>
      </w:r>
      <w:r w:rsidRPr="00985C97">
        <w:rPr>
          <w:lang w:val="id-ID"/>
        </w:rPr>
        <w:t xml:space="preserve"> </w:t>
      </w:r>
      <w:r>
        <w:fldChar w:fldCharType="begin"/>
      </w:r>
      <w:r>
        <w:rPr>
          <w:lang w:val="id-ID"/>
        </w:rPr>
        <w:instrText xml:space="preserve"> ADDIN ZOTERO_ITEM CSL_CITATION {"citationID":"bgvJMSQG","properties":{"formattedCitation":"Dita Rusiani L. Tobing and Zulfan Efendi Hasibuan, \\uc0\\u8216{}Konseptualisasi Kompilasi Hukum Ekonomi Syariah Terhadap Praktik Hutang Piutang Antara Toke Ikan Dengan Nelayan\\uc0\\u8217{}, {\\i{}Jurnal El-Thawalib} 3, no. 5 (31 October 2022): 833\\uc0\\u8211{}45, https://doi.org/10.24952/el-thawalib.v3i5.6201.","plainCitation":"Dita Rusiani L. Tobing and Zulfan Efendi Hasibuan, ‘Konseptualisasi Kompilasi Hukum Ekonomi Syariah Terhadap Praktik Hutang Piutang Antara Toke Ikan Dengan Nelayan’, Jurnal El-Thawalib 3, no. 5 (31 October 2022): 833–45, https://doi.org/10.24952/el-thawalib.v3i5.6201.","noteIndex":22},"citationItems":[{"id":"ADEjw652/nerNTWsx","uris":["http://zotero.org/users/local/jmSsNa9d/items/TMDZYTWJ"],"itemData":{"id":3842,"type":"article-journal","abstract":"Debt is an activity of borrowing money or goods between people in need (debtors) and people who have money or goods (creditors) and then lending them and later the money or goods will be returned in the same form and amount. This is similar to what happened at the Help Group Warehouse in Sibolga City where when fishermen want to go sailing to catch fish, the fish toke will finance or give debts to fishermen according to what is needed when they want to catch fish, on the condition that fishermen must sell their catch. to fishermen. toke fish at below market prices. To find out the practices between fishing activities and fishermen in the fishermen's group warehouse, please help in the compilation of sharia economic law. This research is included in empirical research (field research), and the use of a qualitative approach, the data used comes from primary and secondary data, and the research methods of collecting are interviews and documentation. Based on the results of research on the Practice of Receivables from Toke Fish and Fishermen in the Compilation of Sharia Economic Law (Case Study of Warehouses for Auxiliary Fisherman Groups in Sibolga City), the contract agreement was made orally, the debts incurred in the KNTM warehouse in Sibolga City were harmonious and harmonious. receivables and receivables have been fulfilled, then the practice of receivables is legal according to the Sharia Economic Law Compilation. However, the benefits in trade payables that occur in the Sibolga City KNTM warehouse and the existence of conditional debts make the debt unlawful or the debt canceled because there is a withdrawal of benefits in it, this is not permitted.","container-title":"Jurnal El-Thawalib","DOI":"10.24952/el-thawalib.v3i5.6201","ISSN":"2828-7231","issue":"5","language":"en-US","license":"Copyright (c) 2022 Jurnal El-Thawalib","note":"number: 5","page":"833-845","source":"jurnal.uinsyahada.ac.id","title":"Konseptualisasi Kompilasi Hukum Ekonomi Syariah Terhadap Praktik Hutang Piutang Antara Toke Ikan Dengan Nelayan","volume":"3","author":[{"family":"Tobing","given":"Dita Rusiani L."},{"family":"Hasibuan","given":"Zulfan Efendi"}],"issued":{"date-parts":[["2022",10,31]]}}}],"schema":"https://github.com/citation-style-language/schema/raw/master/csl-citation.json"} </w:instrText>
      </w:r>
      <w:r>
        <w:fldChar w:fldCharType="separate"/>
      </w:r>
      <w:r w:rsidRPr="00392BCF">
        <w:rPr>
          <w:szCs w:val="24"/>
          <w:lang w:val="id-ID"/>
        </w:rPr>
        <w:t xml:space="preserve">Dita Rusiani L. Tobing and Zulfan Efendi Hasibuan, ‘Konseptualisasi Kompilasi Hukum Ekonomi Syariah Terhadap Praktik Hutang Piutang Antara Toke Ikan Dengan Nelayan’, </w:t>
      </w:r>
      <w:r w:rsidRPr="00392BCF">
        <w:rPr>
          <w:i/>
          <w:iCs/>
          <w:szCs w:val="24"/>
          <w:lang w:val="id-ID"/>
        </w:rPr>
        <w:t>Jurnal El-Thawalib</w:t>
      </w:r>
      <w:r w:rsidRPr="00392BCF">
        <w:rPr>
          <w:szCs w:val="24"/>
          <w:lang w:val="id-ID"/>
        </w:rPr>
        <w:t xml:space="preserve"> 3, no. 5 (31 October 2022): 833–45, https://doi.org/10.24952/el-thawalib.v3i5.6201.</w:t>
      </w:r>
      <w:r>
        <w:fldChar w:fldCharType="end"/>
      </w:r>
    </w:p>
  </w:footnote>
  <w:footnote w:id="23">
    <w:p w14:paraId="3AD778A5" w14:textId="4BBF1959" w:rsidR="00392BCF" w:rsidRPr="003127C5"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{"citationID":"TjS0Dwye","properties":{"formattedCitation":"Saiddaeni, \\uc0\\u8216{}Meninjau Kembali Definisi Riba Era Modern, Pinjaman Uang Kartal (FIAT) Perspektif Studi Islam Fiqih Kontemporer\\uc0\\u8217{}.","plainCitation":"Saiddaeni, ‘Meninjau Kembali Definisi Riba Era Modern, Pinjaman Uang Kartal (FIAT) Perspektif Studi Islam Fiqih Kontemporer’.","noteIndex":23},"citationItems":[{"id":"ADEjw652/Ggyfc7id","uris":["http://zotero.org/users/local/jmSsNa9d/items/M3PQZQSL"],"itemData":{"id":3869,"type":"article-journal","abstract":"This article aims to understand the differences in the definition of usury between the time of the Prophet Muhammad and today because it influences the views and laws regarding usury in society. It is important for the parties involved to understand the risks and consequences associated with currency fluctuations before entering into such transactions. As Muslims, understanding how usury is applied in today's context is important in carrying out financial practices that are in accordance with Islamic religious principles. This article uses a literature study method by analyzing a comparative study of the understanding of usury at the time of the Prophet Muhammad with usury in modern times that uses currency (fiat), referring to the book of fiqh in looking at the definition of usury which currently needs to be reviewed. The main purpose of religion forbidding usury is to maintain justice and avoid charging unfair interest, while taking into account risks and other relevant factors in financial transactions. In practice, an understanding of Islamic financial instruments helps choose financial products with sharia principles. So that you can choose a loan that does not involve usury (interest) orgharar (uncertainty) in transactions.","container-title":"Madinah: Jurnal Studi Islam","DOI":"10.58518/madinah.v10i1.1549","ISSN":"2620-9497","issue":"1","language":"en","license":"Copyright (c) 2023 Saiddaeni Saiddaeni","note":"number: 1","page":"58-69","source":"ejournal.iai-tabah.ac.id","title":"Meninjau Kembali Definisi Riba Era Modern, Pinjaman Uang Kartal (FIAT) Perspektif Studi Islam Fiqih Kontemporer","volume":"10","author":[{"family":"Saiddaeni","given":"Saiddaeni"}],"issued":{"date-parts":[["2023",6,12]]}}}],"schema":"https://github.com/citation-style-language/schema/raw/master/csl-citation.json"} </w:instrText>
      </w:r>
      <w:r>
        <w:fldChar w:fldCharType="separate"/>
      </w:r>
      <w:r w:rsidRPr="00392BCF">
        <w:rPr>
          <w:szCs w:val="24"/>
        </w:rPr>
        <w:t>Saiddaeni, ‘Meninjau Kembali Definisi Riba Era Modern, Pinjaman Uang Kartal (FIAT) Perspektif Studi Islam Fiqih Kontemporer’.</w:t>
      </w:r>
      <w:r>
        <w:fldChar w:fldCharType="end"/>
      </w:r>
    </w:p>
  </w:footnote>
  <w:footnote w:id="24">
    <w:p w14:paraId="11118AF4" w14:textId="3E87A541" w:rsidR="00447E4E" w:rsidRPr="00447E4E" w:rsidRDefault="00447E4E"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{"citationID":"a93fed2am5","properties":{"formattedCitation":"Muhammad Alyaafi and Muhammad Raffi Andhera, \\uc0\\u8216{}Riba Dalam Pandangan Al-Qur\\uc0\\u8217{}an Dan Hadist\\uc0\\u8217{}, {\\i{}Jurnal Sosial Humaniora Sigli} 6, no. 1 (26 June 2023), https://doi.org/10.47647/jsh.v6i1.1531.","plainCitation":"Muhammad Alyaafi and Muhammad Raffi Andhera, ‘Riba Dalam Pandangan Al-Qur’an Dan Hadist’, Jurnal Sosial Humaniora Sigli 6, no. 1 (26 June 2023), https://doi.org/10.47647/jsh.v6i1.1531.","noteIndex":25},"citationItems":[{"id":10011,"uris":["http://zotero.org/users/local/iFg5M8U2/items/LKVM45RW"],"itemData":{"id":10011,"type":"article-journal","abstract":"Riba, as the practice of adding or taking additional money in money lending transactions, is an important concern in Islamic law. In the Al-Qur'an and Hadith, usury is expressly prohibited and is considered a major sin that must be avoided by Muslims. The background to this problem involves historical aspects, where the practice of usury became a concern at the time of the Prophet Muhammad SAW and required decisive action. The practice of usury violates the principles of justice and can reinforce social inequalities and economic imbalances. In the era of the modern financial system, the practice of usury also affects the global financial sector, presenting a dilemma for Muslims who want to implement Islamic economic principles. Therefore, a deep understanding of the views of the Qur'an and Hadith regarding usury is important in developing an economic system that is just and in accordance with Islamic teachings. This study aims to analyze the prohibition of usury in the Qur'an and Hadith and its implications in the context of Islamic economics. Through a detailed analysis of relevant verses of the Qur'an and hadiths, a deep understanding of the concept of usury, its impact on society, and applicable Islamic economic alternatives is presented. Thus, this research provides a better understanding of usury in the view of the Qur'an and Hadith, so that it can encourage critical thinking and concrete solutions in carrying out economic activities in accordance with Islamic teachings.","container-title":"Jurnal Sosial Humaniora Sigli","DOI":"10.47647/jsh.v6i1.1531","ISSN":"2615-3688","issue":"1","journalAbbreviation":"Sosial Humaniora","language":"id","source":"DOI.org (Crossref)","title":"Riba Dalam Pandangan Al-Qur’an Dan Hadist","URL":"http://journal.unigha.ac.id/index.php/JSH/article/view/1531","volume":"6","author":[{"family":"Alyaafi","given":"Muhammad"},{"family":"Andhera","given":"Muhammad Raffi"}],"accessed":{"date-parts":[["2024",9,18]]},"issued":{"date-parts":[["2023",6,26]]}}}],"schema":"https://github.com/citation-style-language/schema/raw/master/csl-citation.json"} </w:instrText>
      </w:r>
      <w:r>
        <w:fldChar w:fldCharType="separate"/>
      </w:r>
      <w:r w:rsidR="00D44C6C" w:rsidRPr="00D44C6C">
        <w:rPr>
          <w:szCs w:val="24"/>
        </w:rPr>
        <w:t xml:space="preserve">Muhammad Alyaafi and Muhammad Raffi Andhera, ‘Riba Dalam Pandangan Al-Qur’an Dan Hadist’, </w:t>
      </w:r>
      <w:r w:rsidR="00D44C6C" w:rsidRPr="00D44C6C">
        <w:rPr>
          <w:i/>
          <w:iCs/>
          <w:szCs w:val="24"/>
        </w:rPr>
        <w:t>Jurnal Sosial Humaniora Sigli</w:t>
      </w:r>
      <w:r w:rsidR="00D44C6C" w:rsidRPr="00D44C6C">
        <w:rPr>
          <w:szCs w:val="24"/>
        </w:rPr>
        <w:t xml:space="preserve"> 6, no. 1 (26 June 2023), https://doi.org/10.47647/jsh.v6i1.1531.</w:t>
      </w:r>
      <w:r>
        <w:fldChar w:fldCharType="end"/>
      </w:r>
    </w:p>
  </w:footnote>
  <w:footnote w:id="25">
    <w:p w14:paraId="6160497C" w14:textId="36384D18" w:rsidR="00447E4E" w:rsidRPr="00447E4E" w:rsidRDefault="00447E4E"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{"citationID":"adcjit8vdf","properties":{"formattedCitation":"Abdul Syukkur, \\uc0\\u8216{}Gambaran Pelaku Riba Perspektif Al-Qur\\uc0\\u8217{}an\\uc0\\u8217{}, {\\i{}El-Furqania\\uc0\\u8239{}: Jurnal Ushuluddin Dan Ilmu-Ilmu Keislaman} 9, no. 1 (16 May 2023): 37\\uc0\\u8211{}49.","plainCitation":"Abdul Syukkur, ‘Gambaran Pelaku Riba Perspektif Al-Qur’an’, El-Furqania : Jurnal Ushuluddin Dan Ilmu-Ilmu Keislaman 9, no. 1 (16 May 2023): 37–49.","noteIndex":26},"citationItems":[{"id":7303,"uris":["http://zotero.org/users/local/iFg5M8U2/items/VIE53N49"],"itemData":{"id":7303,"type":"article-journal","abstract":"The Qur'an calls the perpetrator of usury like a dazed person in the afterlife, because he does not have a firm foothold, so he is unable to support his body and staggers. This kind of image of usury perpetrators is proof that usury behavior is very bad. This research provides a description of how bad the fate of usury perpetrators is in the Qur'an, by collecting verses from the Qur'an about the description of usury perpetrators, mentioning the interpretation of the mufassir, describing the whole picture and complementing it with the hadiths of the Prophet Muhammad SAW.&amp;nbsp; The conclusion of this study gets the idea that the perpetrator of usury will not rise from his grave at the end of the world, other than to exist in a state like a strangled madman, and another picture of punishment in the afterlife.\nKeywords: Usury, Overview, Qur'an","container-title":"El-Furqania : Jurnal Ushuluddin dan Ilmu-Ilmu Keislaman","issue":"1","language":"en-US","page":"37-49","source":"ejournal.kopertais4.or.id","title":"Gambaran Pelaku Riba Perspektif Al-Qur'an","title-short":"Gambaran Pelaku Riba Perspektif Al-Qurâ€™an | El-Furqania","volume":"9","author":[{"family":"Syukkur","given":"Abdul"}],"issued":{"date-parts":[["2023",5,16]]}}}],"schema":"https://github.com/citation-style-language/schema/raw/master/csl-citation.json"} </w:instrText>
      </w:r>
      <w:r>
        <w:fldChar w:fldCharType="separate"/>
      </w:r>
      <w:r w:rsidR="00D44C6C" w:rsidRPr="00D44C6C">
        <w:rPr>
          <w:szCs w:val="24"/>
        </w:rPr>
        <w:t xml:space="preserve">Abdul Syukkur, ‘Gambaran Pelaku Riba Perspektif Al-Qur’an’, </w:t>
      </w:r>
      <w:proofErr w:type="gramStart"/>
      <w:r w:rsidR="00D44C6C" w:rsidRPr="00D44C6C">
        <w:rPr>
          <w:i/>
          <w:iCs/>
          <w:szCs w:val="24"/>
        </w:rPr>
        <w:t>El</w:t>
      </w:r>
      <w:proofErr w:type="gramEnd"/>
      <w:r w:rsidR="00D44C6C" w:rsidRPr="00D44C6C">
        <w:rPr>
          <w:i/>
          <w:iCs/>
          <w:szCs w:val="24"/>
        </w:rPr>
        <w:t>-Furqania : Jurnal Ushuluddin Dan Ilmu-Ilmu Keislaman</w:t>
      </w:r>
      <w:r w:rsidR="00D44C6C" w:rsidRPr="00D44C6C">
        <w:rPr>
          <w:szCs w:val="24"/>
        </w:rPr>
        <w:t xml:space="preserve"> 9, no. 1 (16 May 2023): 37–49.</w:t>
      </w:r>
      <w:r>
        <w:fldChar w:fldCharType="end"/>
      </w:r>
    </w:p>
  </w:footnote>
  <w:footnote w:id="26">
    <w:p w14:paraId="0592E27B" w14:textId="5CEF560E" w:rsidR="00392BCF" w:rsidRPr="003127C5"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{"citationID":"ABcLIQCO","properties":{"formattedCitation":"Apryan Anggara Pratama, \\uc0\\u8216{}Status Utang Apabila Pemilik Utang Meninggal Dunia Ditinjau Dari Hukum Islam Dan Peraturan Perundang-Undangan\\uc0\\u8217{}, {\\i{}Jurnal Hukum Magnum Opus} 6, no. 1 (23 February 2023): 37\\uc0\\u8211{}46, https://doi.org/10.30996/jhmo.v6i1.7437.","plainCitation":"Apryan Anggara Pratama, ‘Status Utang Apabila Pemilik Utang Meninggal Dunia Ditinjau Dari Hukum Islam Dan Peraturan Perundang-Undangan’, Jurnal Hukum Magnum Opus 6, no. 1 (23 February 2023): 37–46, https://doi.org/10.30996/jhmo.v6i1.7437.","noteIndex":27},"citationItems":[{"id":"ADEjw652/uDPpR5z6","uris":["http://zotero.org/users/local/jmSsNa9d/items/GZNC5UKX"],"itemData":{"id":3875,"type":"article-journal","abstract":"Debt is an interesting loan agreement to discuss. In general, someone owes an debt caused by emergency needs, for example the need for medical expenses, school fees and so on, but not a few people owe it for business capital needs. Debt itself is common in society and includes something that is prone to problems in it, for example the case of the owner of the debt dies. Debt itself is common in society and includes something that is prone to problems in it, for example the case of the owner of the debt dies. Some people do not understand and end up ignoring the debt, of course, this is an unjustified action. The purpose of this study is to review the status of debt if in the condition that the owner of the debt has passed away from the perspective of Islamic law and laws and regulations. By using normative juridical research with a statutory study source approach and sourced from literature study materials from valid literature that is in accordance with the discussion and found that if the owner of the debt dies, the status of the debt must still be paid by the heirs by itself or automatically due to the law. Therefore the heirs can make repayment of the debt using the estate left by the heir who in this case is the owner of the debt. In the laws and regulations, the heirs can pursue legal remedies if the debt is deemed to be unable to be repaid, by refusing to accept the estate in court. Meanwhile, in Islamic law itself, it is highly emphasized that the debt is immediately repaid, especially by the heirs and if the heirs are incapacitated, the repayment can be assisted by relatives or acquaintances of the owner of the debt.\nKeywords: debt status; islamic law; statutory law\nAbstrak\nUtang merupakan perjanjian pinjaman yang menarik untuk dibahas. Pada umumnya seseorang berutang di sebabkan kebutuhan darurat, misalkan kebutuhan biaya pengobatan, biaya sekolah dan lain sebagainya, tetapi tidak sedikit seseorang berutang untuk kebutuhan modal usaha. Utang sendiri sudah umum terjadi di masyarakat dan termasuk sesuatu yang rawan permasalahan di dalamnya, misalnya kasuspemilik utang  meninggal dunia.  Utang sendiri  sudah umum terjadi di masyarakat dan termasuk sesuatu yang rawan permasalahan didalamnya, misalnya kasus pemilik utang meninggal dunia. Sebagian orang belum paham dan akhirnya mengabaikan utang tersebut, tentunya ini merupakan tindakan yang tidak dibenarkan. Tujuan penelitian ini adalah untuk meninjau status utang apabila dalam kondisi pemilik utang telah meninggal dunia dari perspektif hukum Islam dan peraturan perundang-undangan. Dengan menggunakan penelitianyuridis normatif dengan pendekatan sumber studi perundang-undangan dan bersumber pada bahan studi pustaka dari literatur-literatur valid yang sesuai bahasan dan menemukan bahwa apabila pemilik utang meninggal dunia, status utang tersebut tetap wajib dibayar oleh ahli warisdengan sendirinya atau secara otomatis dikarenakan hukum. Oleh karena itu ahli waris dapat melakukan pelunasan utang menggunakan harta warisan yang ditinggalkan pewaris yang di dalam hal ini adalah pemilik utang. Dalam peraturan perundang-undangan ahli waris dapatmelakukan upaya hukum apabila utang dirasa untuk tidak mampu dilunasi, dengan cara melakukan penolakan menerima harta warisan dipengadilan. Sedangkan di dalam hukum Islam sendiri, sangat ditekankan untuk utang tersebut segera dilunasi, khususnya oleh ahli waris danapabila ahli waris tidak mampu maka pelunasan dapat dibantu oleh kerabat atau kenalan si pemilik utang tersebut.\nKata kunci: hukum islam; hukum perundang-undangan; status utang","container-title":"Jurnal Hukum Magnum Opus","DOI":"10.30996/jhmo.v6i1.7437","ISSN":"2623-274X","issue":"1","language":"en","page":"37-46","source":"jurnal.untag-sby.ac.id","title":"Status Utang Apabila Pemilik Utang Meninggal Dunia Ditinjau Dari Hukum Islam dan Peraturan Perundang-Undangan","volume":"6","author":[{"family":"Pratama","given":"Apryan Anggara"}],"issued":{"date-parts":[["2023",2,23]]}}}],"schema":"https://github.com/citation-style-language/schema/raw/master/csl-citation.json"} </w:instrText>
      </w:r>
      <w:r>
        <w:fldChar w:fldCharType="separate"/>
      </w:r>
      <w:r w:rsidRPr="00392BCF">
        <w:rPr>
          <w:szCs w:val="24"/>
        </w:rPr>
        <w:t xml:space="preserve">Apryan Anggara Pratama, ‘Status Utang Apabila Pemilik Utang Meninggal Dunia Ditinjau Dari Hukum Islam Dan Peraturan Perundang-Undangan’, </w:t>
      </w:r>
      <w:r w:rsidRPr="00392BCF">
        <w:rPr>
          <w:i/>
          <w:iCs/>
          <w:szCs w:val="24"/>
        </w:rPr>
        <w:t>Jurnal Hukum Magnum Opus</w:t>
      </w:r>
      <w:r w:rsidRPr="00392BCF">
        <w:rPr>
          <w:szCs w:val="24"/>
        </w:rPr>
        <w:t xml:space="preserve"> 6, no. 1 (23 February 2023): 37–46, https://doi.org/10.30996/jhmo.v6i1.7437.</w:t>
      </w:r>
      <w:r>
        <w:fldChar w:fldCharType="end"/>
      </w:r>
    </w:p>
  </w:footnote>
  <w:footnote w:id="27">
    <w:p w14:paraId="6F073C88" w14:textId="77BE246F" w:rsidR="00392BCF" w:rsidRPr="003127C5"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{"citationID":"uFcUmtES","properties":{"formattedCitation":"Hassan Abdulla Nabi and Hashem Ismail Ibrahim, \\uc0\\u8216{}The Islamic Approach to Preventing Corruption in Financial Transactions\\uc0\\u8217{}, {\\i{}Journal of University of Raparin} 9, no. 4 (29 September 2022): 485\\uc0\\u8211{}512, https://doi.org/10.26750/Vol(9).No(4).Paper21.","plainCitation":"Hassan Abdulla Nabi and Hashem Ismail Ibrahim, ‘The Islamic Approach to Preventing Corruption in Financial Transactions’, Journal of University of Raparin 9, no. 4 (29 September 2022): 485–512, https://doi.org/10.26750/Vol(9).No(4).Paper21.","noteIndex":28},"citationItems":[{"id":"ADEjw652/XNOtCprU","uris":["http://zotero.org/users/local/jmSsNa9d/items/7WFYCTTH"],"itemData":{"id":3876,"type":"article-journal","container-title":"Journal of University of Raparin","DOI":"10.26750/Vol(9).No(4).Paper21","ISSN":"2522-7130","issue":"4","language":"en","license":"Copyright (c) 2022 Journal of University of Raparin","note":"number: 4","page":"485-512","source":"journal.raparinuni2024.org","title":"The Islamic Approach to Preventing Corruption in Financial Transactions","volume":"9","author":[{"family":"Nabi","given":"Hassan Abdulla"},{"family":"Ibrahim","given":"Hashem Ismail"}],"issued":{"date-parts":[["2022",9,29]]}}}],"schema":"https://github.com/citation-style-language/schema/raw/master/csl-citation.json"} </w:instrText>
      </w:r>
      <w:r>
        <w:fldChar w:fldCharType="separate"/>
      </w:r>
      <w:r w:rsidRPr="00392BCF">
        <w:rPr>
          <w:szCs w:val="24"/>
        </w:rPr>
        <w:t xml:space="preserve">Hassan Abdulla Nabi and Hashem Ismail Ibrahim, ‘The Islamic Approach to Preventing Corruption in Financial Transactions’, </w:t>
      </w:r>
      <w:r w:rsidRPr="00392BCF">
        <w:rPr>
          <w:i/>
          <w:iCs/>
          <w:szCs w:val="24"/>
        </w:rPr>
        <w:t>Journal of University of Raparin</w:t>
      </w:r>
      <w:r w:rsidRPr="00392BCF">
        <w:rPr>
          <w:szCs w:val="24"/>
        </w:rPr>
        <w:t xml:space="preserve"> 9, no. 4 (29 September 2022): 485–512, https://doi.org/10.26750/Vol(9).No(4).Paper21.</w:t>
      </w:r>
      <w:r>
        <w:fldChar w:fldCharType="end"/>
      </w:r>
    </w:p>
  </w:footnote>
  <w:footnote w:id="28">
    <w:p w14:paraId="03AA21EC" w14:textId="3C14AE90" w:rsidR="00392BCF" w:rsidRPr="007E1706" w:rsidRDefault="00392BCF" w:rsidP="00773BDE">
      <w:pPr>
        <w:pStyle w:val="FootnoteText"/>
        <w:ind w:firstLine="709"/>
        <w:jc w:val="lowKashida"/>
        <w:rPr>
          <w:lang w:val="id-ID"/>
        </w:rPr>
      </w:pPr>
      <w:r>
        <w:rPr>
          <w:rStyle w:val="FootnoteReference"/>
        </w:rPr>
        <w:footnoteRef/>
      </w:r>
      <w:r>
        <w:t xml:space="preserve"> </w:t>
      </w:r>
      <w:r>
        <w:fldChar w:fldCharType="begin"/>
      </w:r>
      <w:r>
        <w:instrText xml:space="preserve"> ADDIN ZOTERO_ITEM CSL_CITATION {"citationID":"SHqIcdvq","properties":{"formattedCitation":"Pratama, \\uc0\\u8216{}Status Utang Apabila Pemilik Utang Meninggal Dunia Ditinjau Dari Hukum Islam Dan Peraturan Perundang-Undangan\\uc0\\u8217{}.","plainCitation":"Pratama, ‘Status Utang Apabila Pemilik Utang Meninggal Dunia Ditinjau Dari Hukum Islam Dan Peraturan Perundang-Undangan’.","noteIndex":29},"citationItems":[{"id":"ADEjw652/uDPpR5z6","uris":["http://zotero.org/users/local/jmSsNa9d/items/GZNC5UKX"],"itemData":{"id":3875,"type":"article-journal","abstract":"Debt is an interesting loan agreement to discuss. In general, someone owes an debt caused by emergency needs, for example the need for medical expenses, school fees and so on, but not a few people owe it for business capital needs. Debt itself is common in society and includes something that is prone to problems in it, for example the case of the owner of the debt dies. Debt itself is common in society and includes something that is prone to problems in it, for example the case of the owner of the debt dies. Some people do not understand and end up ignoring the debt, of course, this is an unjustified action. The purpose of this study is to review the status of debt if in the condition that the owner of the debt has passed away from the perspective of Islamic law and laws and regulations. By using normative juridical research with a statutory study source approach and sourced from literature study materials from valid literature that is in accordance with the discussion and found that if the owner of the debt dies, the status of the debt must still be paid by the heirs by itself or automatically due to the law. Therefore the heirs can make repayment of the debt using the estate left by the heir who in this case is the owner of the debt. In the laws and regulations, the heirs can pursue legal remedies if the debt is deemed to be unable to be repaid, by refusing to accept the estate in court. Meanwhile, in Islamic law itself, it is highly emphasized that the debt is immediately repaid, especially by the heirs and if the heirs are incapacitated, the repayment can be assisted by relatives or acquaintances of the owner of the debt.\nKeywords: debt status; islamic law; statutory law\nAbstrak\nUtang merupakan perjanjian pinjaman yang menarik untuk dibahas. Pada umumnya seseorang berutang di sebabkan kebutuhan darurat, misalkan kebutuhan biaya pengobatan, biaya sekolah dan lain sebagainya, tetapi tidak sedikit seseorang berutang untuk kebutuhan modal usaha. Utang sendiri sudah umum terjadi di masyarakat dan termasuk sesuatu yang rawan permasalahan di dalamnya, misalnya kasuspemilik utang  meninggal dunia.  Utang sendiri  sudah umum terjadi di masyarakat dan termasuk sesuatu yang rawan permasalahan didalamnya, misalnya kasus pemilik utang meninggal dunia. Sebagian orang belum paham dan akhirnya mengabaikan utang tersebut, tentunya ini merupakan tindakan yang tidak dibenarkan. Tujuan penelitian ini adalah untuk meninjau status utang apabila dalam kondisi pemilik utang telah meninggal dunia dari perspektif hukum Islam dan peraturan perundang-undangan. Dengan menggunakan penelitianyuridis normatif dengan pendekatan sumber studi perundang-undangan dan bersumber pada bahan studi pustaka dari literatur-literatur valid yang sesuai bahasan dan menemukan bahwa apabila pemilik utang meninggal dunia, status utang tersebut tetap wajib dibayar oleh ahli warisdengan sendirinya atau secara otomatis dikarenakan hukum. Oleh karena itu ahli waris dapat melakukan pelunasan utang menggunakan harta warisan yang ditinggalkan pewaris yang di dalam hal ini adalah pemilik utang. Dalam peraturan perundang-undangan ahli waris dapatmelakukan upaya hukum apabila utang dirasa untuk tidak mampu dilunasi, dengan cara melakukan penolakan menerima harta warisan dipengadilan. Sedangkan di dalam hukum Islam sendiri, sangat ditekankan untuk utang tersebut segera dilunasi, khususnya oleh ahli waris danapabila ahli waris tidak mampu maka pelunasan dapat dibantu oleh kerabat atau kenalan si pemilik utang tersebut.\nKata kunci: hukum islam; hukum perundang-undangan; status utang","container-title":"Jurnal Hukum Magnum Opus","DOI":"10.30996/jhmo.v6i1.7437","ISSN":"2623-274X","issue":"1","language":"en","page":"37-46","source":"jurnal.untag-sby.ac.id","title":"Status Utang Apabila Pemilik Utang Meninggal Dunia Ditinjau Dari Hukum Islam dan Peraturan Perundang-Undangan","volume":"6","author":[{"family":"Pratama","given":"Apryan Anggara"}],"issued":{"date-parts":[["2023",2,23]]}}}],"schema":"https://github.com/citation-style-language/schema/raw/master/csl-citation.json"} </w:instrText>
      </w:r>
      <w:r>
        <w:fldChar w:fldCharType="separate"/>
      </w:r>
      <w:r w:rsidRPr="00392BCF">
        <w:rPr>
          <w:szCs w:val="24"/>
        </w:rPr>
        <w:t>Pratama, ‘Status Utang Apabila Pemilik Utang Meninggal Dunia Ditinjau Dari Hukum Islam Dan Peraturan Perundang-Undangan’.</w:t>
      </w:r>
      <w:r>
        <w:fldChar w:fldCharType="end"/>
      </w:r>
    </w:p>
  </w:footnote>
  <w:footnote w:id="29">
    <w:p w14:paraId="532FF22F" w14:textId="3E6540C8" w:rsidR="00392BCF" w:rsidRPr="00985C97" w:rsidRDefault="00392BCF" w:rsidP="00773BDE">
      <w:pPr>
        <w:pStyle w:val="FootnoteText"/>
        <w:ind w:firstLine="709"/>
        <w:rPr>
          <w:lang w:val="id-ID"/>
        </w:rPr>
      </w:pPr>
      <w:r>
        <w:rPr>
          <w:rStyle w:val="FootnoteReference"/>
        </w:rPr>
        <w:footnoteRef/>
      </w:r>
      <w:r w:rsidRPr="00985C97">
        <w:rPr>
          <w:lang w:val="id-ID"/>
        </w:rPr>
        <w:t xml:space="preserve"> </w:t>
      </w:r>
      <w:r>
        <w:fldChar w:fldCharType="begin"/>
      </w:r>
      <w:r>
        <w:rPr>
          <w:lang w:val="id-ID"/>
        </w:rPr>
        <w:instrText xml:space="preserve"> ADDIN ZOTERO_ITEM CSL_CITATION {"citationID":"Xt8twaWC","properties":{"formattedCitation":"Ahmad Alfi, \\uc0\\u8216{}Qir\\uc0\\u257{}`At Sh\\uc0\\u257{}dhah Dalam Tafsir Syiah: Studi Term Nikah Mut\\uc0\\u8217{}ah Dan Imam\\uc0\\u8217{}, {\\i{}AL ITQAN: Jurnal Studi Al-Qur\\uc0\\u8217{}an} 4, no. 1 (20 February 2018): 53\\uc0\\u8211{}70, https://doi.org/10.47454/itqan.v4i1.679; Muhammad ibn Yusuf Al Andalusi Abu-Hayy\\uc0\\u226{}n, {\\i{}Al-Bahr Al-Muh\\uc0\\u238{}th} (Beirut: Dar al-Fikr, 1403), 716\\uc0\\u8211{}17; Hasan Ibn Ahmad Ibnu-Kh\\uc0\\u226{}lawaih, {\\i{}Mukhtashar Fi Syaw\\uc0\\u226{}dz Al-Qur\\uc0\\u8217{}an Min Kit\\uc0\\u226{}b Al-Bad\\uc0\\u238{}\\uc0\\u8217{}} (Mesir: Mathba\\uc0\\u8217{}ah Al-Rahm\\uc0\\u226{}niyyah, 1934), 17.","plainCitation":"Ahmad Alfi, ‘Qirā`At Shādhah Dalam Tafsir Syiah: Studi Term Nikah Mut’ah Dan Imam’, AL ITQAN: Jurnal Studi Al-Qur’an 4, no. 1 (20 February 2018): 53–70, https://doi.org/10.47454/itqan.v4i1.679; Muhammad ibn Yusuf Al Andalusi Abu-Hayyân, Al-Bahr Al-Muhîth (Beirut: Dar al-Fikr, 1403), 716–17; Hasan Ibn Ahmad Ibnu-Khâlawaih, Mukhtashar Fi Syawâdz Al-Qur’an Min Kitâb Al-Badî’ (Mesir: Mathba’ah Al-Rahmâniyyah, 1934), 17.","noteIndex":30},"citationItems":[{"id":7305,"uris":["http://zotero.org/users/local/iFg5M8U2/items/NXGSL92K"],"itemData":{"id":7305,"type":"article-journal","abstract":"This study tries to investigate the use of qirā`at shādhah in Shia interpretation. The discussion about qirā`at shādhah in the study of al-Qur`an exegesis is still interesting to examine. It is indicated that different perspectives can affect the realization of understanding the Qur'an. This can be seen, for example, in the debates of al-Shāfi'i and Mālik with Abū Ḥanīfah and Aḥmad in understanding surah al-Māidah verse 89 which explains about the fine for violation of oaths which results different legal products. The use of qirā`at shādhah seems to have also been of concern to the Shi'ah interpreters. Al-Ṭabāṭabā'ī for example in al-Mīzan fi Tafsīr al-Qur'ān stated that permissiveness of mut'ah marriage was mentioned in the QS. al-Nisā 'verse 24 which was corroborated by qirā`at shādhah Ubay bin Ka'ab, Ibn Mas'ūd, and Ibn Abbās. Meanwhile, al-Shawkānī Shi'a scholar taking the Zaidiyyah thought, argued otherwise. Nikah mut'ah is not allowed because the argument is interrogated (mansūkh). This means that qirā`at shādhah is also an important term for the Shi'ah group to be used as a tool for analysis in producing new laws in the products of their interpretation. Therefore, this paper will look at how the existence of qirā`at shādhah in Shia Interpretation work, especially the differences between their scholars regarding it. In addition, the discussion of qirā`at in Shi'ah is still rarely found. As a comparison, this paper will describe the terms nikah mut'ah and imāmah. Keywords: Qirā`at Shādhah, Shia interpretation, Nikah Mut'ah, Imāmah.","container-title":"AL ITQAN: Jurnal Studi Al-Qur'an","DOI":"10.47454/itqan.v4i1.679","issue":"1","journalAbbreviation":"AL ITQAN: Jurnal Studi Al-Qur'an","page":"53-70","source":"ResearchGate","title":"Qirā`At Shādhah Dalam Tafsir Syiah: Studi Term Nikah Mut’ah dan Imam","title-short":"QIRĀ`AT SHĀDHAH DALAM TAFSIR SYIAH","volume":"4","author":[{"family":"Alfi","given":"Ahmad"}],"issued":{"date-parts":[["2018",2,20]]}},"label":"page"},{"id":9742,"uris":["http://zotero.org/users/local/iFg5M8U2/items/87TGQPGK"],"itemData":{"id":9742,"type":"book","event-place":"Beirut","publisher":"Dar al-Fikr","publisher-place":"Beirut","title":"Al-Bahr Al-Muhîth","author":[{"family":"Abu-Hayyân","given":"Muhammad ibn Yusuf Al Andalusi"}],"issued":{"date-parts":[["1403"]]}},"locator":"716-717","label":"page"},{"id":9746,"uris":["http://zotero.org/users/local/iFg5M8U2/items/3U9QZQLZ"],"itemData":{"id":9746,"type":"book","event-place":"Mesir:","publisher":"Mathba’ah Al-Rahmâniyyah","publisher-place":"Mesir:","title":"Mukhtashar Fi Syawâdz Al-Qur’an Min Kitâb Al-Badî’","author":[{"family":"Ibnu-Khâlawaih","given":"Hasan Ibn Ahmad"}],"issued":{"date-parts":[["1934"]]}},"locator":"17","label":"page"}],"schema":"https://github.com/citation-style-language/schema/raw/master/csl-citation.json"} </w:instrText>
      </w:r>
      <w:r>
        <w:fldChar w:fldCharType="separate"/>
      </w:r>
      <w:r w:rsidRPr="00392BCF">
        <w:rPr>
          <w:szCs w:val="24"/>
          <w:lang w:val="id-ID"/>
        </w:rPr>
        <w:t xml:space="preserve">Ahmad Alfi, ‘Qirā`At Shādhah Dalam Tafsir Syiah: Studi Term Nikah Mut’ah Dan Imam’, </w:t>
      </w:r>
      <w:r w:rsidRPr="00392BCF">
        <w:rPr>
          <w:i/>
          <w:iCs/>
          <w:szCs w:val="24"/>
          <w:lang w:val="id-ID"/>
        </w:rPr>
        <w:t>AL ITQAN: Jurnal Studi Al-Qur’an</w:t>
      </w:r>
      <w:r w:rsidRPr="00392BCF">
        <w:rPr>
          <w:szCs w:val="24"/>
          <w:lang w:val="id-ID"/>
        </w:rPr>
        <w:t xml:space="preserve"> 4, no. 1 (20 February 2018): 53–70, https://doi.org/10.47454/itqan.v4i1.679; Muhammad ibn Yusuf Al Andalusi Abu-Hayyân, </w:t>
      </w:r>
      <w:r w:rsidRPr="00392BCF">
        <w:rPr>
          <w:i/>
          <w:iCs/>
          <w:szCs w:val="24"/>
          <w:lang w:val="id-ID"/>
        </w:rPr>
        <w:t>Al-Bahr Al-Muhîth</w:t>
      </w:r>
      <w:r w:rsidRPr="00392BCF">
        <w:rPr>
          <w:szCs w:val="24"/>
          <w:lang w:val="id-ID"/>
        </w:rPr>
        <w:t xml:space="preserve"> (Beirut: Dar al-Fikr, 1403), 716–17; Hasan Ibn Ahmad Ibnu-Khâlawaih, </w:t>
      </w:r>
      <w:r w:rsidRPr="00392BCF">
        <w:rPr>
          <w:i/>
          <w:iCs/>
          <w:szCs w:val="24"/>
          <w:lang w:val="id-ID"/>
        </w:rPr>
        <w:t>Mukhtashar Fi Syawâdz Al-Qur’an Min Kitâb Al-Badî’</w:t>
      </w:r>
      <w:r w:rsidRPr="00392BCF">
        <w:rPr>
          <w:szCs w:val="24"/>
          <w:lang w:val="id-ID"/>
        </w:rPr>
        <w:t xml:space="preserve"> (Mesir: Mathba’ah Al-Rahmâniyyah, 1934), 17.</w:t>
      </w:r>
      <w:r>
        <w:fldChar w:fldCharType="end"/>
      </w:r>
    </w:p>
  </w:footnote>
  <w:footnote w:id="30">
    <w:p w14:paraId="3C5DE385" w14:textId="22CC3C5E"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Pr>
          <w:rFonts w:asciiTheme="majorBidi" w:hAnsiTheme="majorBidi" w:cstheme="majorBidi"/>
        </w:rPr>
        <w:instrText xml:space="preserve"> ADDIN ZOTERO_ITEM CSL_CITATION {"citationID":"NHM5oLak","properties":{"formattedCitation":"Christopher Melchert, \\uc0\\u8216{}The Variant Readings in Islamic Law\\uc0\\u8217{}, {\\i{}Journal of the International Qur\\uc0\\u8217{}anic Studies Association} 7, no. 1 (2022): 7\\uc0\\u8211{}25, https://doi.org/10.5913/jiqsa.7.2022.a001.","plainCitation":"Christopher Melchert, ‘The Variant Readings in Islamic Law’, Journal of the International Qur’anic Studies Association 7, no. 1 (2022): 7–25, https://doi.org/10.5913/jiqsa.7.2022.a001.","noteIndex":31},"citationItems":[{"id":"ADEjw652/H4KX0DT8","uris":["http://zotero.org/users/local/jmSsNa9d/items/RUS9KHHV"],"itemData":{"id":1247,"type":"article-journal","abstract":"The accepted variant readings (qirāʾāt) of the Qurʾān have often been characterized as those that may be recited in the course of the ritual prayer. However, it appears on examination that premodern juridical handbooks laying out the rules governing the ritual prayer rarely discuss textual variants. When they do, it is almost always to rule out variants reportedly recited by Companions before the caliph ʿUthmān promulgated a single orthodox text. Also, contrary to what some scholars continue to allege, it is doubtful whether the acceptance of seven, ten, or any other number of accepted variant readings has been affected by judicial rulings or fatwas from jurisprudents backed by state power. What constrained specialists to restrict themselves to widely accepted variants was evidently fear not of the state but of disapproval from fellow specialists.","container-title":"Journal of the International Qur’anic Studies Association","DOI":"10.5913/jiqsa.7.2022.a001","ISSN":"2474-8420","issue":"1","journalAbbreviation":"JIQSA","language":"en","license":"Copyright (c) 2023","note":"number: 1","page":"7-25","source":"lockwoodonlinejournals.com","title":"The Variant Readings in Islamic Law","volume":"7","author":[{"family":"Melchert","given":"Christopher"}],"issued":{"date-parts":[["2022"]]}}}],"schema":"https://github.com/citation-style-language/schema/raw/master/csl-citation.json"} </w:instrText>
      </w:r>
      <w:r w:rsidRPr="003A6BAF">
        <w:rPr>
          <w:rFonts w:asciiTheme="majorBidi" w:hAnsiTheme="majorBidi" w:cstheme="majorBidi"/>
        </w:rPr>
        <w:fldChar w:fldCharType="separate"/>
      </w:r>
      <w:r w:rsidRPr="00392BCF">
        <w:rPr>
          <w:szCs w:val="24"/>
        </w:rPr>
        <w:t xml:space="preserve">Christopher Melchert, ‘The Variant Readings in Islamic Law’, </w:t>
      </w:r>
      <w:r w:rsidRPr="00392BCF">
        <w:rPr>
          <w:i/>
          <w:iCs/>
          <w:szCs w:val="24"/>
        </w:rPr>
        <w:t>Journal of the International Qur’anic Studies Association</w:t>
      </w:r>
      <w:r w:rsidRPr="00392BCF">
        <w:rPr>
          <w:szCs w:val="24"/>
        </w:rPr>
        <w:t xml:space="preserve"> 7, no. 1 (2022): 7–25, https://doi.org/10.5913/jiqsa.7.2022.a001.</w:t>
      </w:r>
      <w:r w:rsidRPr="003A6BAF">
        <w:rPr>
          <w:rFonts w:asciiTheme="majorBidi" w:hAnsiTheme="majorBidi" w:cstheme="majorBidi"/>
        </w:rPr>
        <w:fldChar w:fldCharType="end"/>
      </w:r>
    </w:p>
  </w:footnote>
  <w:footnote w:id="31">
    <w:p w14:paraId="3B967DC2" w14:textId="6B0E7D11"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Pr>
          <w:rFonts w:asciiTheme="majorBidi" w:hAnsiTheme="majorBidi" w:cstheme="majorBidi"/>
          <w:lang w:val="id-ID"/>
        </w:rPr>
        <w:instrText xml:space="preserve"> ADDIN ZOTERO_ITEM CSL_CITATION {"citationID":"vW1qHLtI","properties":{"formattedCitation":"Ghilman Nursidin Syarief, \\uc0\\u8216{}Metode Dan Corak Penafsiran Al-Qur\\uc0\\u8217{}an\\uc0\\u8217{}, 2019, https://www.semanticscholar.org/paper/Metode-dan-Corak-Penafsiran-al-Qur%E2%80%99an-Syarief/f97b0ec221cf8d545f9df6e90fcc456aa1fa3a16.","plainCitation":"Ghilman Nursidin Syarief, ‘Metode Dan Corak Penafsiran Al-Qur’an’, 2019, https://www.semanticscholar.org/paper/Metode-dan-Corak-Penafsiran-al-Qur%E2%80%99an-Syarief/f97b0ec221cf8d545f9df6e90fcc456aa1fa3a16.","noteIndex":32},"citationItems":[{"id":"ADEjw652/xrjNVSqx","uris":["http://zotero.org/users/local/jmSsNa9d/items/ZB4QUM9E"],"itemData":{"id":1654,"type":"paper-conference","abstract":"Text of the Qur'an which is a revelation from Allah Subhanahu Wa Ta’ala. is the main source of Islamic law which must be understood by all Muslims. Understanding the understanding of the text or verse of the Qur'an is very dependent on the knowledge of the person who reads it. In this case the commentators have a tendency that is different from one another. This makes the works of interpreters also have different styles. This paper seeks to provide an explanation of some interpretive features, starting from the history of the emergence and interpreters and their interpretations. This is expected to make it easier to get to know the Qur'an based on the style of interpretation.","source":"Semantic Scholar","title":"Metode dan Corak Penafsiran al-Qur’an","URL":"https://www.semanticscholar.org/paper/Metode-dan-Corak-Penafsiran-al-Qur%E2%80%99an-Syarief/f97b0ec221cf8d545f9df6e90fcc456aa1fa3a16","author":[{"family":"Syarief","given":"Ghilman Nursidin"}],"accessed":{"date-parts":[["2024",6,9]]},"issued":{"date-parts":[["2019",4,23]]}}}],"schema":"https://github.com/citation-style-language/schema/raw/master/csl-citation.json"} </w:instrText>
      </w:r>
      <w:r w:rsidRPr="003A6BAF">
        <w:rPr>
          <w:rFonts w:asciiTheme="majorBidi" w:hAnsiTheme="majorBidi" w:cstheme="majorBidi"/>
        </w:rPr>
        <w:fldChar w:fldCharType="separate"/>
      </w:r>
      <w:r w:rsidRPr="00392BCF">
        <w:rPr>
          <w:szCs w:val="24"/>
        </w:rPr>
        <w:t>Ghilman Nursidin Syarief, ‘Metode Dan Corak Penafsiran Al-Qur’an’, 2019, https://www.semanticscholar.org/paper/Metode-dan-Corak-Penafsiran-al-Qur%E2%80%99an-Syarief/f97b0ec221cf8d545f9df6e90fcc456aa1fa3a16.</w:t>
      </w:r>
      <w:r w:rsidRPr="003A6BAF">
        <w:rPr>
          <w:rFonts w:asciiTheme="majorBidi" w:hAnsiTheme="majorBidi" w:cstheme="majorBidi"/>
        </w:rPr>
        <w:fldChar w:fldCharType="end"/>
      </w:r>
    </w:p>
  </w:footnote>
  <w:footnote w:id="32">
    <w:p w14:paraId="013B0416" w14:textId="1D4FAF1E" w:rsidR="00447E4E" w:rsidRPr="00447E4E" w:rsidRDefault="00447E4E" w:rsidP="00773BDE">
      <w:pPr>
        <w:pStyle w:val="FootnoteText"/>
        <w:ind w:firstLine="709"/>
        <w:rPr>
          <w:lang w:val="id-ID"/>
        </w:rPr>
      </w:pPr>
      <w:r>
        <w:rPr>
          <w:rStyle w:val="FootnoteReference"/>
        </w:rPr>
        <w:footnoteRef/>
      </w:r>
      <w:r w:rsidRPr="00447E4E">
        <w:rPr>
          <w:lang w:val="id-ID"/>
        </w:rPr>
        <w:t xml:space="preserve"> </w:t>
      </w:r>
      <w:r>
        <w:fldChar w:fldCharType="begin"/>
      </w:r>
      <w:r w:rsidR="00D44C6C">
        <w:rPr>
          <w:lang w:val="id-ID"/>
        </w:rPr>
        <w:instrText xml:space="preserve"> ADDIN ZOTERO_ITEM CSL_CITATION {"citationID":"a2a5nl0n1tq","properties":{"formattedCitation":"Al-R\\uc0\\u226{}zi, {\\i{}Maf\\uc0\\u226{}t\\uc0\\u238{}h Al-Ghaib} (D\\uc0\\u226{}r al-Fikr, n.d.), 43; Abu al-Qasim Mahmud ibn Amr ibn Ahmad al-Zamakhsyari, {\\i{}Al-Kasyasyaf \\uc0\\u8217{}an Haqaiq al Tanzil Wa \\uc0\\u8217{}Uyun al-Qawail} (Bairut: Dar al-Ma-\\uc0\\u8217{}arif, n.d.), 323.","plainCitation":"Al-Râzi, Mafâtîh Al-Ghaib (Dâr al-Fikr, n.d.), 43; Abu al-Qasim Mahmud ibn Amr ibn Ahmad al-Zamakhsyari, Al-Kasyasyaf ’an Haqaiq al Tanzil Wa ’Uyun al-Qawail (Bairut: Dar al-Ma-’arif, n.d.), 323.","noteIndex":33},"citationItems":[{"id":9750,"uris":["http://zotero.org/users/local/iFg5M8U2/items/4AUDRVKV"],"itemData":{"id":9750,"type":"book","publisher":"Dâr al-Fikr","title":"Mafâtîh al-Ghaib","author":[{"literal":"Al-Râzi"}]},"locator":"43","label":"page"},{"id":9745,"uris":["http://zotero.org/users/local/iFg5M8U2/items/DP4GCY7Q"],"itemData":{"id":9745,"type":"book","event-place":"Bairut","publisher":"Dar al-Ma-'arif","publisher-place":"Bairut","title":"Al-Kasyasyaf 'an Haqaiq al Tanzil wa 'Uyun al-Qawail","author":[{"family":"Zamakhsyari","given":"Abu al-Qasim Mahmud ibn Amr ibn Ahmad","non-dropping-particle":"al-"}]},"locator":"323","label":"page"}],"schema":"https://github.com/citation-style-language/schema/raw/master/csl-citation.json"} </w:instrText>
      </w:r>
      <w:r>
        <w:fldChar w:fldCharType="separate"/>
      </w:r>
      <w:r w:rsidR="00D44C6C" w:rsidRPr="00D44C6C">
        <w:rPr>
          <w:szCs w:val="24"/>
          <w:lang w:val="id-ID"/>
        </w:rPr>
        <w:t xml:space="preserve">Al-Râzi, </w:t>
      </w:r>
      <w:r w:rsidR="00D44C6C" w:rsidRPr="00D44C6C">
        <w:rPr>
          <w:i/>
          <w:iCs/>
          <w:szCs w:val="24"/>
          <w:lang w:val="id-ID"/>
        </w:rPr>
        <w:t>Mafâtîh Al-Ghaib</w:t>
      </w:r>
      <w:r w:rsidR="00D44C6C" w:rsidRPr="00D44C6C">
        <w:rPr>
          <w:szCs w:val="24"/>
          <w:lang w:val="id-ID"/>
        </w:rPr>
        <w:t xml:space="preserve"> (Dâr al-Fikr, n.d.), 43; Abu al-Qasim Mahmud ibn Amr ibn Ahmad al-Zamakhsyari, </w:t>
      </w:r>
      <w:r w:rsidR="00D44C6C" w:rsidRPr="00D44C6C">
        <w:rPr>
          <w:i/>
          <w:iCs/>
          <w:szCs w:val="24"/>
          <w:lang w:val="id-ID"/>
        </w:rPr>
        <w:t>Al-Kasyasyaf ’an Haqaiq al Tanzil Wa ’Uyun al-Qawail</w:t>
      </w:r>
      <w:r w:rsidR="00D44C6C" w:rsidRPr="00D44C6C">
        <w:rPr>
          <w:szCs w:val="24"/>
          <w:lang w:val="id-ID"/>
        </w:rPr>
        <w:t xml:space="preserve"> (Bairut: Dar al-Ma-’arif, n.d.), 323.</w:t>
      </w:r>
      <w:r>
        <w:fldChar w:fldCharType="end"/>
      </w:r>
    </w:p>
  </w:footnote>
  <w:footnote w:id="33">
    <w:p w14:paraId="55193032" w14:textId="0CC970E5" w:rsidR="002030FE" w:rsidRPr="002030FE" w:rsidRDefault="002030FE"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{"citationID":"atbuf0vj5d","properties":{"formattedCitation":"Abu-Hayy\\uc0\\u226{}n, {\\i{}Al-Bahr Al-Muh\\uc0\\u238{}th}, 717.","plainCitation":"Abu-Hayyân, Al-Bahr Al-Muhîth, 717.","noteIndex":34},"citationItems":[{"id":9742,"uris":["http://zotero.org/users/local/iFg5M8U2/items/87TGQPGK"],"itemData":{"id":9742,"type":"book","event-place":"Beirut","publisher":"Dar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rPr>
        <w:t xml:space="preserve">Abu-Hayyân, </w:t>
      </w:r>
      <w:r w:rsidR="00D44C6C" w:rsidRPr="00D44C6C">
        <w:rPr>
          <w:i/>
          <w:iCs/>
          <w:szCs w:val="24"/>
        </w:rPr>
        <w:t>Al-Bahr Al-Muhîth</w:t>
      </w:r>
      <w:r w:rsidR="00D44C6C" w:rsidRPr="00D44C6C">
        <w:rPr>
          <w:szCs w:val="24"/>
        </w:rPr>
        <w:t>, 717.</w:t>
      </w:r>
      <w:r>
        <w:fldChar w:fldCharType="end"/>
      </w:r>
    </w:p>
  </w:footnote>
  <w:footnote w:id="34">
    <w:p w14:paraId="00B02862" w14:textId="136187B3" w:rsidR="002030FE" w:rsidRPr="002030FE" w:rsidRDefault="002030FE" w:rsidP="00773BDE">
      <w:pPr>
        <w:pStyle w:val="FootnoteText"/>
        <w:ind w:firstLine="709"/>
        <w:rPr>
          <w:lang w:val="id-ID"/>
        </w:rPr>
      </w:pPr>
      <w:r>
        <w:rPr>
          <w:rStyle w:val="FootnoteReference"/>
        </w:rPr>
        <w:footnoteRef/>
      </w:r>
      <w:r w:rsidRPr="002030FE">
        <w:rPr>
          <w:lang w:val="id-ID"/>
        </w:rPr>
        <w:t xml:space="preserve"> </w:t>
      </w:r>
      <w:r>
        <w:fldChar w:fldCharType="begin"/>
      </w:r>
      <w:r w:rsidR="00D44C6C">
        <w:rPr>
          <w:lang w:val="id-ID"/>
        </w:rPr>
        <w:instrText xml:space="preserve"> ADDIN ZOTERO_ITEM CSL_CITATION {"citationID":"a1tgu4o38q2","properties":{"formattedCitation":"Abu-Hayy\\uc0\\u226{}n, 717.","plainCitation":"Abu-Hayyân, 717.","noteIndex":35},"citationItems":[{"id":9742,"uris":["http://zotero.org/users/local/iFg5M8U2/items/87TGQPGK"],"itemData":{"id":9742,"type":"book","event-place":"Beirut","publisher":"Dar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lang w:val="id-ID"/>
        </w:rPr>
        <w:t>Abu-Hayyân, 717.</w:t>
      </w:r>
      <w:r>
        <w:fldChar w:fldCharType="end"/>
      </w:r>
    </w:p>
  </w:footnote>
  <w:footnote w:id="35">
    <w:p w14:paraId="44555E39" w14:textId="2E97848B" w:rsidR="002030FE" w:rsidRPr="002030FE" w:rsidRDefault="002030FE" w:rsidP="00773BDE">
      <w:pPr>
        <w:pStyle w:val="FootnoteText"/>
        <w:ind w:firstLine="709"/>
        <w:rPr>
          <w:lang w:val="id-ID"/>
        </w:rPr>
      </w:pPr>
      <w:r>
        <w:rPr>
          <w:rStyle w:val="FootnoteReference"/>
        </w:rPr>
        <w:footnoteRef/>
      </w:r>
      <w:r w:rsidRPr="002030FE">
        <w:rPr>
          <w:lang w:val="id-ID"/>
        </w:rPr>
        <w:t xml:space="preserve"> </w:t>
      </w:r>
      <w:r>
        <w:fldChar w:fldCharType="begin"/>
      </w:r>
      <w:r w:rsidR="00D44C6C">
        <w:rPr>
          <w:lang w:val="id-ID"/>
        </w:rPr>
        <w:instrText xml:space="preserve"> ADDIN ZOTERO_ITEM CSL_CITATION {"citationID":"a2lm4888peq","properties":{"formattedCitation":"al-Zamakhsyari, {\\i{}Al-Kasyasyaf \\uc0\\u8217{}an Haqaiq al Tanzil Wa \\uc0\\u8217{}Uyun al-Qawail}, 323; Abu-Hayy\\uc0\\u226{}n, {\\i{}Al-Bahr Al-Muh\\uc0\\u238{}th}, 717.","plainCitation":"al-Zamakhsyari, Al-Kasyasyaf ’an Haqaiq al Tanzil Wa ’Uyun al-Qawail, 323; Abu-Hayyân, Al-Bahr Al-Muhîth, 717.","noteIndex":36},"citationItems":[{"id":9745,"uris":["http://zotero.org/users/local/iFg5M8U2/items/DP4GCY7Q"],"itemData":{"id":9745,"type":"book","event-place":"Bairut","publisher":"Dar al-Ma-'arif","publisher-place":"Bairut","title":"Al-Kasyasyaf 'an Haqaiq al Tanzil wa 'Uyun al-Qawail","author":[{"family":"Zamakhsyari","given":"Abu al-Qasim Mahmud ibn Amr ibn Ahmad","non-dropping-particle":"al-"}]},"locator":"323","label":"page"},{"id":9742,"uris":["http://zotero.org/users/local/iFg5M8U2/items/87TGQPGK"],"itemData":{"id":9742,"type":"book","event-place":"Beirut","publisher":"Dar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lang w:val="id-ID"/>
        </w:rPr>
        <w:t xml:space="preserve">al-Zamakhsyari, </w:t>
      </w:r>
      <w:r w:rsidR="00D44C6C" w:rsidRPr="00D44C6C">
        <w:rPr>
          <w:i/>
          <w:iCs/>
          <w:szCs w:val="24"/>
          <w:lang w:val="id-ID"/>
        </w:rPr>
        <w:t>Al-Kasyasyaf ’an Haqaiq al Tanzil Wa ’Uyun al-Qawail</w:t>
      </w:r>
      <w:r w:rsidR="00D44C6C" w:rsidRPr="00D44C6C">
        <w:rPr>
          <w:szCs w:val="24"/>
          <w:lang w:val="id-ID"/>
        </w:rPr>
        <w:t xml:space="preserve">, 323; Abu-Hayyân, </w:t>
      </w:r>
      <w:r w:rsidR="00D44C6C" w:rsidRPr="00D44C6C">
        <w:rPr>
          <w:i/>
          <w:iCs/>
          <w:szCs w:val="24"/>
          <w:lang w:val="id-ID"/>
        </w:rPr>
        <w:t>Al-Bahr Al-Muhîth</w:t>
      </w:r>
      <w:r w:rsidR="00D44C6C" w:rsidRPr="00D44C6C">
        <w:rPr>
          <w:szCs w:val="24"/>
          <w:lang w:val="id-ID"/>
        </w:rPr>
        <w:t>, 717.</w:t>
      </w:r>
      <w:r>
        <w:fldChar w:fldCharType="end"/>
      </w:r>
    </w:p>
  </w:footnote>
  <w:footnote w:id="36">
    <w:p w14:paraId="1CF69B59" w14:textId="3E62621F" w:rsidR="002030FE" w:rsidRPr="002030FE" w:rsidRDefault="002030FE" w:rsidP="00773BDE">
      <w:pPr>
        <w:pStyle w:val="FootnoteText"/>
        <w:ind w:firstLine="709"/>
        <w:rPr>
          <w:lang w:val="id-ID"/>
        </w:rPr>
      </w:pPr>
      <w:r>
        <w:rPr>
          <w:rStyle w:val="FootnoteReference"/>
        </w:rPr>
        <w:footnoteRef/>
      </w:r>
      <w:r w:rsidRPr="002030FE">
        <w:rPr>
          <w:lang w:val="id-ID"/>
        </w:rPr>
        <w:t xml:space="preserve"> </w:t>
      </w:r>
      <w:r>
        <w:fldChar w:fldCharType="begin"/>
      </w:r>
      <w:r w:rsidR="00D44C6C">
        <w:rPr>
          <w:lang w:val="id-ID"/>
        </w:rPr>
        <w:instrText xml:space="preserve"> ADDIN ZOTERO_ITEM CSL_CITATION {"citationID":"aigg0rr4ch","properties":{"formattedCitation":"al-Zamakhsyari, {\\i{}Al-Kasyasyaf \\uc0\\u8217{}an Haqaiq al Tanzil Wa \\uc0\\u8217{}Uyun al-Qawail}, 323; Abu-Hayy\\uc0\\u226{}n, {\\i{}Al-Bahr Al-Muh\\uc0\\u238{}th}, 717.","plainCitation":"al-Zamakhsyari, Al-Kasyasyaf ’an Haqaiq al Tanzil Wa ’Uyun al-Qawail, 323; Abu-Hayyân, Al-Bahr Al-Muhîth, 717.","noteIndex":37},"citationItems":[{"id":9745,"uris":["http://zotero.org/users/local/iFg5M8U2/items/DP4GCY7Q"],"itemData":{"id":9745,"type":"book","event-place":"Bairut","publisher":"Dar al-Ma-'arif","publisher-place":"Bairut","title":"Al-Kasyasyaf 'an Haqaiq al Tanzil wa 'Uyun al-Qawail","author":[{"family":"Zamakhsyari","given":"Abu al-Qasim Mahmud ibn Amr ibn Ahmad","non-dropping-particle":"al-"}]},"locator":"323","label":"page"},{"id":9742,"uris":["http://zotero.org/users/local/iFg5M8U2/items/87TGQPGK"],"itemData":{"id":9742,"type":"book","event-place":"Beirut","publisher":"Dar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lang w:val="id-ID"/>
        </w:rPr>
        <w:t xml:space="preserve">al-Zamakhsyari, </w:t>
      </w:r>
      <w:r w:rsidR="00D44C6C" w:rsidRPr="00D44C6C">
        <w:rPr>
          <w:i/>
          <w:iCs/>
          <w:szCs w:val="24"/>
          <w:lang w:val="id-ID"/>
        </w:rPr>
        <w:t>Al-Kasyasyaf ’an Haqaiq al Tanzil Wa ’Uyun al-Qawail</w:t>
      </w:r>
      <w:r w:rsidR="00D44C6C" w:rsidRPr="00D44C6C">
        <w:rPr>
          <w:szCs w:val="24"/>
          <w:lang w:val="id-ID"/>
        </w:rPr>
        <w:t xml:space="preserve">, 323; Abu-Hayyân, </w:t>
      </w:r>
      <w:r w:rsidR="00D44C6C" w:rsidRPr="00D44C6C">
        <w:rPr>
          <w:i/>
          <w:iCs/>
          <w:szCs w:val="24"/>
          <w:lang w:val="id-ID"/>
        </w:rPr>
        <w:t>Al-Bahr Al-Muhîth</w:t>
      </w:r>
      <w:r w:rsidR="00D44C6C" w:rsidRPr="00D44C6C">
        <w:rPr>
          <w:szCs w:val="24"/>
          <w:lang w:val="id-ID"/>
        </w:rPr>
        <w:t>, 717.</w:t>
      </w:r>
      <w:r>
        <w:fldChar w:fldCharType="end"/>
      </w:r>
    </w:p>
  </w:footnote>
  <w:footnote w:id="37">
    <w:p w14:paraId="7CE9452D" w14:textId="5F9BA72B" w:rsidR="002030FE" w:rsidRPr="002030FE" w:rsidRDefault="002030FE" w:rsidP="00773BDE">
      <w:pPr>
        <w:pStyle w:val="FootnoteText"/>
        <w:ind w:firstLine="709"/>
        <w:rPr>
          <w:lang w:val="id-ID"/>
        </w:rPr>
      </w:pPr>
      <w:r>
        <w:rPr>
          <w:rStyle w:val="FootnoteReference"/>
        </w:rPr>
        <w:footnoteRef/>
      </w:r>
      <w:r w:rsidRPr="002030FE">
        <w:rPr>
          <w:lang w:val="id-ID"/>
        </w:rPr>
        <w:t xml:space="preserve"> </w:t>
      </w:r>
      <w:r>
        <w:fldChar w:fldCharType="begin"/>
      </w:r>
      <w:r w:rsidR="00D44C6C">
        <w:rPr>
          <w:lang w:val="id-ID"/>
        </w:rPr>
        <w:instrText xml:space="preserve"> ADDIN ZOTERO_ITEM CSL_CITATION {"citationID":"alqlvbgh5e","properties":{"formattedCitation":"Ibnu \\uc0\\u8216{}Athiyyah, {\\i{}Muharrar Al-Waj\\uc0\\u238{}z, Juz I} (Beirut: Dar al-Kutub al-\\uc0\\u8216{}Ilmiyah, 1422), 351; Abu-Hayy\\uc0\\u226{}n, {\\i{}Al-Bahr Al-Muh\\uc0\\u238{}th}, 717.","plainCitation":"Ibnu ‘Athiyyah, Muharrar Al-Wajîz, Juz I (Beirut: Dar al-Kutub al-‘Ilmiyah, 1422), 351; Abu-Hayyân, Al-Bahr Al-Muhîth, 717.","noteIndex":38},"citationItems":[{"id":9748,"uris":["http://zotero.org/users/local/iFg5M8U2/items/LEUAMF6Z"],"itemData":{"id":9748,"type":"book","event-place":"Beirut","publisher":"Dar al-Kutub al-‘Ilmiyah","publisher-place":"Beirut","title":"Muharrar al-Wajîz, Juz I","author":[{"family":"‘Athiyyah","given":"Ibnu"}],"issued":{"date-parts":[["1422"]],"season":"H"}},"locator":"351","label":"page"},{"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lang w:val="id-ID"/>
        </w:rPr>
        <w:t xml:space="preserve">Ibnu ‘Athiyyah, </w:t>
      </w:r>
      <w:r w:rsidR="00D44C6C" w:rsidRPr="00D44C6C">
        <w:rPr>
          <w:i/>
          <w:iCs/>
          <w:szCs w:val="24"/>
          <w:lang w:val="id-ID"/>
        </w:rPr>
        <w:t>Muharrar Al-Wajîz, Juz I</w:t>
      </w:r>
      <w:r w:rsidR="00D44C6C" w:rsidRPr="00D44C6C">
        <w:rPr>
          <w:szCs w:val="24"/>
          <w:lang w:val="id-ID"/>
        </w:rPr>
        <w:t xml:space="preserve"> (Beirut: Dar al-Kutub al-‘Ilmiyah, 1422), 351; Abu-Hayyân, </w:t>
      </w:r>
      <w:r w:rsidR="00D44C6C" w:rsidRPr="00D44C6C">
        <w:rPr>
          <w:i/>
          <w:iCs/>
          <w:szCs w:val="24"/>
          <w:lang w:val="id-ID"/>
        </w:rPr>
        <w:t>Al-Bahr Al-Muhîth</w:t>
      </w:r>
      <w:r w:rsidR="00D44C6C" w:rsidRPr="00D44C6C">
        <w:rPr>
          <w:szCs w:val="24"/>
          <w:lang w:val="id-ID"/>
        </w:rPr>
        <w:t>, 717.</w:t>
      </w:r>
      <w:r>
        <w:fldChar w:fldCharType="end"/>
      </w:r>
    </w:p>
  </w:footnote>
  <w:footnote w:id="38">
    <w:p w14:paraId="5B1DE979" w14:textId="5FCF3244" w:rsidR="002030FE" w:rsidRPr="002030FE" w:rsidRDefault="002030FE"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{"citationID":"a15mml9pcf3","properties":{"formattedCitation":"Abu-Hayy\\uc0\\u226{}n, {\\i{}Al-Bahr Al-Muh\\uc0\\u238{}th}, 717.","plainCitation":"Abu-Hayyân, Al-Bahr Al-Muhîth, 717.","noteIndex":39},"citationItems":[{"id":9742,"uris":["http://zotero.org/users/local/iFg5M8U2/items/87TGQPGK"],"itemData":{"id":9742,"type":"book","event-place":"Beirut","publisher":"Dar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rPr>
        <w:t xml:space="preserve">Abu-Hayyân, </w:t>
      </w:r>
      <w:r w:rsidR="00D44C6C" w:rsidRPr="00D44C6C">
        <w:rPr>
          <w:i/>
          <w:iCs/>
          <w:szCs w:val="24"/>
        </w:rPr>
        <w:t>Al-Bahr Al-Muhîth</w:t>
      </w:r>
      <w:r w:rsidR="00D44C6C" w:rsidRPr="00D44C6C">
        <w:rPr>
          <w:szCs w:val="24"/>
        </w:rPr>
        <w:t>, 717.</w:t>
      </w:r>
      <w:r>
        <w:fldChar w:fldCharType="end"/>
      </w:r>
    </w:p>
  </w:footnote>
  <w:footnote w:id="39">
    <w:p w14:paraId="050B3081" w14:textId="0807256D" w:rsidR="00073A06" w:rsidRPr="00073A06" w:rsidRDefault="00073A06" w:rsidP="00773BDE">
      <w:pPr>
        <w:pStyle w:val="FootnoteText"/>
        <w:ind w:firstLine="709"/>
        <w:rPr>
          <w:lang w:val="id-ID"/>
        </w:rPr>
      </w:pPr>
      <w:r>
        <w:rPr>
          <w:rStyle w:val="FootnoteReference"/>
        </w:rPr>
        <w:footnoteRef/>
      </w:r>
      <w:r w:rsidRPr="00073A06">
        <w:rPr>
          <w:lang w:val="id-ID"/>
        </w:rPr>
        <w:t xml:space="preserve"> </w:t>
      </w:r>
      <w:r>
        <w:fldChar w:fldCharType="begin"/>
      </w:r>
      <w:r w:rsidR="00D44C6C">
        <w:rPr>
          <w:lang w:val="id-ID"/>
        </w:rPr>
        <w:instrText xml:space="preserve"> ADDIN ZOTERO_ITEM CSL_CITATION {"citationID":"a211ed0olt7","properties":{"formattedCitation":"Ahmad Zubaidi, \\uc0\\u8216{}Application Of Qordh, Ijarah And Wakalah Bil Ujrah In Aqad Financing On Financial Tehcnology\\uc0\\u8217{}, {\\i{}Al-Risalah\\uc0\\u8239{}: Jurnal Studi Agama Dan Pemikiran Islam} 13, no. 1 (19 January 2022): 1\\uc0\\u8211{}15, https://doi.org/10.34005/alrisalah.v13i1.1716.","plainCitation":"Ahmad Zubaidi, ‘Application Of Qordh, Ijarah And Wakalah Bil Ujrah In Aqad Financing On Financial Tehcnology’, Al-Risalah : Jurnal Studi Agama Dan Pemikiran Islam 13, no. 1 (19 January 2022): 1–15, https://doi.org/10.34005/alrisalah.v13i1.1716.","noteIndex":40},"citationItems":[{"id":7321,"uris":["http://zotero.org/users/local/iFg5M8U2/items/2RR4M2RJ"],"itemData":{"id":7321,"type":"article-journal","abstract":"The development of Sharia Financial Technology raises the question of what contracts are used so that sharia fintech practices are in accordance with sharia provisions. In this interest, DSN MUI has issued Fatwa DSN MUI Number 117/DSN-MUI/II/2018 concerning Information Technology-Based Financing Services Based on Sharia Principles. However, the application of this fatwa also requires other DSN fatwas in order to create a fintech product that can answer the needs of the community but still comply with sharia. One of the products needed by the business world is financing for company receivables due to the provision of work from other parties for which cash payments are not made. One solution is to provide financing by using qordh, ijarah and wakalah bil ujrah contracts. This article will explain how the Qord, Ijarah, and wakalah bil Ujrah contracts are applied to the fintech industry which can be applied to the Islamic finance business, their implementation models, the policies of the Financial Services Authority, and fatwas related to fintech.\nBerkembangnya Financial Technology Syariah memunculkan pertanyaan akad-akad apa yang digunakan agar praktik fintech syariah sesuai dengan ketentuan syraiah. Dalam kepentingan ini, DSN MUI sudah mengeluarkan Fatwa DSN MUI Nomor 117/DSN-MUI/II/2018 Tentang Layanan Pembiayaan Berbasis Teknologi Informasi Berdasarkan Prinsip Syariah. Namun, demikian dalam pengaplikasian fatwa ini juga membutuhkan fatwa-fatwa DSN yang lain agar tercipta sebuah produk fintech yang dapat menjawab kebutuhan masyarakat tetapi tetap sesuai syariah. Salah satu prodk yang dibutuhkan dunia usaha adalah pembiayaan terhadap piutang perusahaan akibat adanya pemberian kerja dari pihak lain yang tidak dilakukan pembayaran secara kontan. Salah satu solusinya adalah dengan pemberian pembiayaan dengan menggunaan akad qordh, ijarah dan wakalah bil ujrah. Artikel ini akan menjelaskan bagaimana akad Qord, Ijarah, dan wakalah bil Ujrah diterapkan pada Industri fintech dapat diterapkan dalam bisnis keuangan syariah, model-model penerapannya, kebijakan Otoritas Jasa Keuangan, dan Fatwa-fatwa yang berkaitan dengan fintech.","container-title":"Al-Risalah : Jurnal Studi Agama dan Pemikiran Islam","DOI":"10.34005/alrisalah.v13i1.1716","ISSN":"2686-2107","issue":"1","language":"en","license":"Copyright (c)","note":"number: 1","page":"1-15","source":"uia.e-journal.id","title":"Application Of Qordh, Ijarah And Wakalah Bil Ujrah In Aqad Financing On Financial Tehcnology","volume":"13","author":[{"family":"Zubaidi","given":"Ahmad"}],"issued":{"date-parts":[["2022",1,19]]}}}],"schema":"https://github.com/citation-style-language/schema/raw/master/csl-citation.json"} </w:instrText>
      </w:r>
      <w:r>
        <w:fldChar w:fldCharType="separate"/>
      </w:r>
      <w:r w:rsidR="00D44C6C" w:rsidRPr="00D44C6C">
        <w:rPr>
          <w:szCs w:val="24"/>
          <w:lang w:val="id-ID"/>
        </w:rPr>
        <w:t xml:space="preserve">Ahmad Zubaidi, ‘Application Of Qordh, Ijarah And Wakalah Bil Ujrah In Aqad Financing On Financial Tehcnology’, </w:t>
      </w:r>
      <w:r w:rsidR="00D44C6C" w:rsidRPr="00D44C6C">
        <w:rPr>
          <w:i/>
          <w:iCs/>
          <w:szCs w:val="24"/>
          <w:lang w:val="id-ID"/>
        </w:rPr>
        <w:t>Al-Risalah : Jurnal Studi Agama Dan Pemikiran Islam</w:t>
      </w:r>
      <w:r w:rsidR="00D44C6C" w:rsidRPr="00D44C6C">
        <w:rPr>
          <w:szCs w:val="24"/>
          <w:lang w:val="id-ID"/>
        </w:rPr>
        <w:t xml:space="preserve"> 13, no. 1 (19 January 2022): 1–15, https://doi.org/10.34005/alrisalah.v13i1.1716.</w:t>
      </w:r>
      <w:r>
        <w:fldChar w:fldCharType="end"/>
      </w:r>
    </w:p>
  </w:footnote>
  <w:footnote w:id="40">
    <w:p w14:paraId="1F0E558E" w14:textId="784BEAD6" w:rsidR="00073A06" w:rsidRPr="00073A06" w:rsidRDefault="00073A06"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{"citationID":"akfvil3n7f","properties":{"formattedCitation":"Abu-Hayy\\uc0\\u226{}n, {\\i{}Al-Bahr Al-Muh\\uc0\\u238{}th}, 717.","plainCitation":"Abu-Hayyân, Al-Bahr Al-Muhîth, 717.","noteIndex":41},"citationItems":[{"id":9742,"uris":["http://zotero.org/users/local/iFg5M8U2/items/87TGQPGK"],"itemData":{"id":9742,"type":"book","event-place":"Beirut","publisher":"Dar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rPr>
        <w:t xml:space="preserve">Abu-Hayyân, </w:t>
      </w:r>
      <w:r w:rsidR="00D44C6C" w:rsidRPr="00D44C6C">
        <w:rPr>
          <w:i/>
          <w:iCs/>
          <w:szCs w:val="24"/>
        </w:rPr>
        <w:t>Al-Bahr Al-Muhîth</w:t>
      </w:r>
      <w:r w:rsidR="00D44C6C" w:rsidRPr="00D44C6C">
        <w:rPr>
          <w:szCs w:val="24"/>
        </w:rPr>
        <w:t>, 717.</w:t>
      </w:r>
      <w:r>
        <w:fldChar w:fldCharType="end"/>
      </w:r>
    </w:p>
  </w:footnote>
  <w:footnote w:id="41">
    <w:p w14:paraId="31A0B696" w14:textId="1D994A01"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sidR="00D44C6C">
        <w:rPr>
          <w:rFonts w:asciiTheme="majorBidi" w:hAnsiTheme="majorBidi" w:cstheme="majorBidi"/>
          <w:lang w:val="id-ID"/>
        </w:rPr>
        <w:instrText xml:space="preserve"> ADDIN ZOTERO_ITEM CSL_CITATION {"citationID":"QValNfnK","properties":{"formattedCitation":"Ghozi Febra, Iril Admizal, and Suriyadi, \\uc0\\u8216{}The Influence of Qira\\uc0\\u8217{}at Variants in Interpretation Ayat-Ayat Al-Qur\\uc0\\u8217{}an\\uc0\\u8217{}, {\\i{}Indonesia Journal of Engineering and Education Technology (IJEET)} 2, no. 2 (11 May 2024): 267\\uc0\\u8211{}73, https://doi.org/10.61991/ijeet.v2i2.49.","plainCitation":"Ghozi Febra, Iril Admizal, and Suriyadi, ‘The Influence of Qira’at Variants in Interpretation Ayat-Ayat Al-Qur’an’, Indonesia Journal of Engineering and Education Technology (IJEET) 2, no. 2 (11 May 2024): 267–73, https://doi.org/10.61991/ijeet.v2i2.49.","noteIndex":42},"citationItems":[{"id":"ADEjw652/o7uZ2ivk","uris":["http://zotero.org/users/local/jmSsNa9d/items/IKX4G3CI"],"itemData":{"id":1234,"type":"article-journal","abstract":"This study examines the influence of Qira'at variations on the interpretation of Quranic verses, focusing on the potential implications for understanding and applying Islamic teachings. Qira'at refers to the various ways in which the Quran is recited, with different schools of thought and traditions offering distinct readings of the sacred text. The research aims to investigate how these variations affect the interpretation of specific Quranic verses, exploring the potential consequences for Islamic thought and practice. Through a comprehensive analysis of existing literature and primary sources, this study identifies key differences in Qira'at readings and their corresponding impacts on the interpretation of Quranic verses. The findings highlight the significance of considering Qira'at variations in the context of Islamic scholarship and the potential for these differences to shape the understanding and application of Islamic teachings. The study contributes to the ongoing discussion on the role of Qira'at in Islamic studies, emphasizing the importance of acknowledging and addressing the implications of these variations on the interpretation of Quranic verses. The research also provides a framework for further exploration of the relationship between Qira'at and Islamic thought, with potential applications in fields such as Islamic studies, theology, and interfaith dialogue.","container-title":"Indonesia Journal of Engineering and Education Technology (IJEET)","DOI":"10.61991/ijeet.v2i2.49","ISSN":"3026-7544","issue":"2","language":"en","license":"Copyright (c) 2024 Ghozi Febra, Iril Admizal, Suriyadi","note":"number: 2","page":"267-273","source":"journal.ataker.ac.id","title":"The Influence of Qira'at Variants in Interpretation Ayat-Ayat Al-Qur’an","volume":"2","author":[{"family":"Febra","given":"Ghozi"},{"family":"Admizal","given":"Iril"},{"family":"Suriyadi","given":""}],"issued":{"date-parts":[["2024",5,11]]}}}],"schema":"https://github.com/citation-style-language/schema/raw/master/csl-citation.json"} </w:instrText>
      </w:r>
      <w:r w:rsidRPr="003A6BAF">
        <w:rPr>
          <w:rFonts w:asciiTheme="majorBidi" w:hAnsiTheme="majorBidi" w:cstheme="majorBidi"/>
        </w:rPr>
        <w:fldChar w:fldCharType="separate"/>
      </w:r>
      <w:r w:rsidRPr="00392BCF">
        <w:rPr>
          <w:szCs w:val="24"/>
        </w:rPr>
        <w:t xml:space="preserve">Ghozi Febra, Iril Admizal, and Suriyadi, ‘The Influence of Qira’at Variants in Interpretation Ayat-Ayat Al-Qur’an’, </w:t>
      </w:r>
      <w:r w:rsidRPr="00392BCF">
        <w:rPr>
          <w:i/>
          <w:iCs/>
          <w:szCs w:val="24"/>
        </w:rPr>
        <w:t>Indonesia Journal of Engineering and Education Technology (IJEET)</w:t>
      </w:r>
      <w:r w:rsidRPr="00392BCF">
        <w:rPr>
          <w:szCs w:val="24"/>
        </w:rPr>
        <w:t xml:space="preserve"> 2, no. 2 (11 May 2024): 267–73, https://doi.org/10.61991/ijeet.v2i2.49.</w:t>
      </w:r>
      <w:r w:rsidRPr="003A6BAF">
        <w:rPr>
          <w:rFonts w:asciiTheme="majorBidi" w:hAnsiTheme="majorBidi" w:cstheme="majorBidi"/>
        </w:rPr>
        <w:fldChar w:fldCharType="end"/>
      </w:r>
    </w:p>
  </w:footnote>
  <w:footnote w:id="42">
    <w:p w14:paraId="0703894D" w14:textId="03A60CDA"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sidR="00D44C6C">
        <w:rPr>
          <w:rFonts w:asciiTheme="majorBidi" w:hAnsiTheme="majorBidi" w:cstheme="majorBidi"/>
          <w:lang w:val="id-ID"/>
        </w:rPr>
        <w:instrText xml:space="preserve"> ADDIN ZOTERO_ITEM CSL_CITATION {"citationID":"gA4QaYC1","properties":{"formattedCitation":"Cut Widya Audina, Nuraini Nuraini, and Abd Wahid, \\uc0\\u8216{}Lafaz Mathar dan Ghaits dalam Al-Qur\\uc0\\u8217{}an\\uc0\\u8217{}, {\\i{}TAFSE: Journal of Qur\\uc0\\u8217{}anic Studies} 4, no. 1 (30 June 2019): 67\\uc0\\u8211{}83, https://doi.org/10.22373/tafse.v4i1.13098.","plainCitation":"Cut Widya Audina, Nuraini Nuraini, and Abd Wahid, ‘Lafaz Mathar dan Ghaits dalam Al-Qur’an’, TAFSE: Journal of Qur’anic Studies 4, no. 1 (30 June 2019): 67–83, https://doi.org/10.22373/tafse.v4i1.13098.","noteIndex":43},"citationItems":[{"id":"ADEjw652/O0xLrsUK","uris":["http://zotero.org/users/local/jmSsNa9d/items/ZA7MBWGI"],"itemData":{"id":1685,"type":"article-journal","abstract":"Some of the verses in the Qur'an have pronunciations that seem synonymous (muradif) but when examined further they have different connotations, such as in the words mathar and ghaits. There are various kinds of meanings of lafaz mathar and ghaits in the Qur'an, namely the amazing rain, the rain of stones, the rain of the sijjil, and so on. This paper aims to reveal how the meaning of the lafaz mathar and ghaits in the Qur'an is viewed from the muradif aspect and how the context of the use of this lafaz in the Qur'an is. This study is a literature review by collecting data and reviewing library materials consisting of primary and secondary data. The data obtained as documentation uses the maudhu'i method. The results of this study, the lafaz mathar is found in 9 surahs with 6 forms of lafaz variations, while the ghaits lafaz is found in 5 surahs and has 6 forms of lafaz variations. Lafaz mathar and ghaits have the same meaning, namely rain, but the context of the verse and the interpretation are different. Lafaz mathar shows more rain of doom, punishment, or reinforcements. While lafaz ghaits shows the rain of mercy or help from Allah. Sebagian ayat-ayat dalam Alquran mempunyai lafaz yang tampaknya sinonim (muradif) namun bila diteliti lebih jauh memiliki konotasi yang berbeda, seperti pada lafaz mathar dan ghaits. Terdapat berbagai macam ragam makna lafaz mathar dan ghaits dalam Alquran yakni hujan yang mengagumkan, hujan batu, hujan sijjil, dan lain sebagainya. Tulisan ini bertujuan untuk mengungkapkan bagaimana pemaknaan lafaz mathar dan ghaits dalam Alquran ditinjau dari aspek muradif dan bagaimana konteks penggunaan lafaz tersebut dalam Alquran. Kajian ini adalah kajian kepustakaan dengan mengumpulkan data-data dan mengkaji bahan-bahan kepustakaan yang terdiri dari data primer dan sekunder. Adapun data yang diperoleh sebagai dokumentasi menggunakan metode maudhu’i. Hasil penelitian ini, lafaz mathar ditemukan dalam 9 surah dengan 6 bentuk variasi lafaz, sedangkan lafaz ghaits ditemukan dalam 5 surah serta memiliki 6 bentuk variasi lafaz. Lafaz mathar dan ghaits memiliki makna yang sama yaitu hujan, akan tetapi konteks ayat dan penafsirannya berbeda. Lafaz mathar lebih menunjukkan kepada hujan azab, hukuman, atau bala. Sedangkan lafaz ghaits menunjukkan kepada hujan rahmat atau pertolongan dari Allah.","container-title":"TAFSE: Journal of Qur'anic Studies","DOI":"10.22373/tafse.v4i1.13098","ISSN":"2775-5339","issue":"1","language":"id","license":"Copyright (c) 2019 Nuraini Nuraini, Abd. Wahid, Cut Widya Audina","note":"number: 1","page":"67-83","source":"jurnal.ar-raniry.ac.id","title":"Lafaz Mathar dan Ghaits dalam Al-Qur’an","volume":"4","author":[{"family":"Audina","given":"Cut Widya"},{"family":"Nuraini","given":"Nuraini"},{"family":"Wahid","given":"Abd"}],"issued":{"date-parts":[["2019",6,30]]}}}],"schema":"https://github.com/citation-style-language/schema/raw/master/csl-citation.json"} </w:instrText>
      </w:r>
      <w:r w:rsidRPr="003A6BAF">
        <w:rPr>
          <w:rFonts w:asciiTheme="majorBidi" w:hAnsiTheme="majorBidi" w:cstheme="majorBidi"/>
        </w:rPr>
        <w:fldChar w:fldCharType="separate"/>
      </w:r>
      <w:r w:rsidRPr="00392BCF">
        <w:rPr>
          <w:szCs w:val="24"/>
          <w:lang w:val="id-ID"/>
        </w:rPr>
        <w:t xml:space="preserve">Cut Widya Audina, Nuraini Nuraini, and Abd Wahid, ‘Lafaz Mathar dan Ghaits dalam Al-Qur’an’, </w:t>
      </w:r>
      <w:r w:rsidRPr="00392BCF">
        <w:rPr>
          <w:i/>
          <w:iCs/>
          <w:szCs w:val="24"/>
          <w:lang w:val="id-ID"/>
        </w:rPr>
        <w:t>TAFSE: Journal of Qur’anic Studies</w:t>
      </w:r>
      <w:r w:rsidRPr="00392BCF">
        <w:rPr>
          <w:szCs w:val="24"/>
          <w:lang w:val="id-ID"/>
        </w:rPr>
        <w:t xml:space="preserve"> 4, no. 1 (30 June 2019): 67–83, https://doi.org/10.22373/tafse.v4i1.13098.</w:t>
      </w:r>
      <w:r w:rsidRPr="003A6BAF">
        <w:rPr>
          <w:rFonts w:asciiTheme="majorBidi" w:hAnsiTheme="majorBidi" w:cstheme="majorBidi"/>
        </w:rPr>
        <w:fldChar w:fldCharType="end"/>
      </w:r>
    </w:p>
  </w:footnote>
  <w:footnote w:id="43">
    <w:p w14:paraId="53E67CE6" w14:textId="338CFC9E"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sidR="00D44C6C">
        <w:rPr>
          <w:rFonts w:asciiTheme="majorBidi" w:hAnsiTheme="majorBidi" w:cstheme="majorBidi"/>
        </w:rPr>
        <w:instrText xml:space="preserve"> ADDIN ZOTERO_ITEM CSL_CITATION {"citationID":"pG9snZqC","properties":{"formattedCitation":"Mohamed Fathy Mohamed Abdelgelil, Muhammad Habib Abubakar, and Isyaku Hassan, \\uc0\\u8216{}A Rhetorical Analysis of Informative, Interrogative, and Declarative Utterances in Tawjeeh al-Qira\\uc0\\u8217{}at al-Mutawatirah\\uc0\\u8217{}, {\\i{}Revista EntreLinguas}, 30 December 2022, e022074, https://doi.org/10.29051/el.v8i00.17674.","plainCitation":"Mohamed Fathy Mohamed Abdelgelil, Muhammad Habib Abubakar, and Isyaku Hassan, ‘A Rhetorical Analysis of Informative, Interrogative, and Declarative Utterances in Tawjeeh al-Qira’at al-Mutawatirah’, Revista EntreLinguas, 30 December 2022, e022074, https://doi.org/10.29051/el.v8i00.17674.","noteIndex":44},"citationItems":[{"id":"ADEjw652/sEDO8OLo","uris":["http://zotero.org/users/local/jmSsNa9d/items/SMF5APIQ"],"itemData":{"id":1554,"type":"article-journal","abstract":"A pesquisa sobre al-Qira'at al-Mutawtirah (modos autênticos de recitação) é muito limitada. Este artigo, portanto, tem como objetivo explorar a retórica de al-Qira’at al-Mutawtirah à luz das manifestações retóricas árabes. Tais manifestações incluem enunciados informativos, interrogativos e declarativos. Os pesquisadores empregaram uma abordagem analítica para analisar as instâncias selecionadas de al-Qira'at al-Mutawtirah no Alcorão, em que tais declarações foram cuidadosamente examinadas. O estudo revelou que a retórica de al-Qira'at al-Mutawtirah se manifesta em seus significados. Os significados de Qira'at podem ser aprofundados quando tentamos descobrir suas manifestações retóricas subjacentes. Além disso, os significados ocultos de Qira'at podem ser descobertos quando combinamos os significados de Qira'at. Previu-se que este estudo pudesse avançar nosso conhecimento sobre o papel dos diferentes modos de citações na compreensão dos significados do Alcorão.","container-title":"Revista EntreLinguas","DOI":"10.29051/el.v8i00.17674","journalAbbreviation":"Revista EntreLinguas","page":"e022074","source":"ResearchGate","title":"A rhetorical analysis of informative, interrogative, and declarative utterances in Tawjeeh al-Qira’at al-Mutawatirah","author":[{"family":"Mohamed Abdelgelil","given":"Mohamed Fathy"},{"family":"Abubakar","given":"Muhammad Habib"},{"family":"Hassan","given":"Isyaku"}],"issued":{"date-parts":[["2022",12,30]]}}}],"schema":"https://github.com/citation-style-language/schema/raw/master/csl-citation.json"} </w:instrText>
      </w:r>
      <w:r w:rsidRPr="003A6BAF">
        <w:rPr>
          <w:rFonts w:asciiTheme="majorBidi" w:hAnsiTheme="majorBidi" w:cstheme="majorBidi"/>
        </w:rPr>
        <w:fldChar w:fldCharType="separate"/>
      </w:r>
      <w:r w:rsidRPr="00392BCF">
        <w:rPr>
          <w:szCs w:val="24"/>
        </w:rPr>
        <w:t xml:space="preserve">Mohamed Fathy Mohamed Abdelgelil, Muhammad Habib Abubakar, and Isyaku Hassan, ‘A Rhetorical Analysis of Informative, Interrogative, and Declarative Utterances in Tawjeeh al-Qira’at al-Mutawatirah’, </w:t>
      </w:r>
      <w:r w:rsidRPr="00392BCF">
        <w:rPr>
          <w:i/>
          <w:iCs/>
          <w:szCs w:val="24"/>
        </w:rPr>
        <w:t>Revista EntreLinguas</w:t>
      </w:r>
      <w:r w:rsidRPr="00392BCF">
        <w:rPr>
          <w:szCs w:val="24"/>
        </w:rPr>
        <w:t>, 30 December 2022, e022074, https://doi.org/10.29051/el.v8i00.17674.</w:t>
      </w:r>
      <w:r w:rsidRPr="003A6BAF">
        <w:rPr>
          <w:rFonts w:asciiTheme="majorBidi" w:hAnsiTheme="majorBidi" w:cstheme="majorBidi"/>
        </w:rPr>
        <w:fldChar w:fldCharType="end"/>
      </w:r>
    </w:p>
  </w:footnote>
  <w:footnote w:id="44">
    <w:p w14:paraId="47519BE6" w14:textId="74B71A5A" w:rsidR="00073A06" w:rsidRPr="00073A06" w:rsidRDefault="00073A06" w:rsidP="00773BDE">
      <w:pPr>
        <w:pStyle w:val="FootnoteText"/>
        <w:ind w:firstLine="709"/>
        <w:rPr>
          <w:lang w:val="id-ID"/>
        </w:rPr>
      </w:pPr>
      <w:r>
        <w:rPr>
          <w:rStyle w:val="FootnoteReference"/>
        </w:rPr>
        <w:footnoteRef/>
      </w:r>
      <w:r w:rsidRPr="00073A06">
        <w:rPr>
          <w:lang w:val="id-ID"/>
        </w:rPr>
        <w:t xml:space="preserve"> </w:t>
      </w:r>
      <w:r>
        <w:fldChar w:fldCharType="begin"/>
      </w:r>
      <w:r w:rsidR="00D44C6C">
        <w:rPr>
          <w:lang w:val="id-ID"/>
        </w:rPr>
        <w:instrText xml:space="preserve"> ADDIN ZOTERO_ITEM CSL_CITATION {"citationID":"a1l8io34fv1","properties":{"formattedCitation":"Al-R\\uc0\\u226{}zi, {\\i{}Maf\\uc0\\u226{}t\\uc0\\u238{}h Al-Ghaib}, 43; Abu-Hayy\\uc0\\u226{}n, {\\i{}Al-Bahr Al-Muh\\uc0\\u238{}th}, 717.","plainCitation":"Al-Râzi, Mafâtîh Al-Ghaib, 43; Abu-Hayyân, Al-Bahr Al-Muhîth, 717.","noteIndex":45},"citationItems":[{"id":9750,"uris":["http://zotero.org/users/local/iFg5M8U2/items/4AUDRVKV"],"itemData":{"id":9750,"type":"book","publisher":"Dâr al-Fikr","title":"Mafâtîh al-Ghaib","author":[{"literal":"Al-Râzi"}]},"locator":"43","label":"page"},{"id":9742,"uris":["http://zotero.org/users/local/iFg5M8U2/items/87TGQPGK"],"itemData":{"id":9742,"type":"book","event-place":"Beirut","publisher":"Dar al-Fikr","publisher-place":"Beirut","title":"Al-Bahr Al-Muhîth","author":[{"family":"Abu-Hayyân","given":"Muhammad ibn Yusuf Al Andalusi"}],"issued":{"date-parts":[["1403"]]}},"locator":"717","label":"page"}],"schema":"https://github.com/citation-style-language/schema/raw/master/csl-citation.json"} </w:instrText>
      </w:r>
      <w:r>
        <w:fldChar w:fldCharType="separate"/>
      </w:r>
      <w:r w:rsidR="00D44C6C" w:rsidRPr="00D44C6C">
        <w:rPr>
          <w:szCs w:val="24"/>
          <w:lang w:val="id-ID"/>
        </w:rPr>
        <w:t xml:space="preserve">Al-Râzi, </w:t>
      </w:r>
      <w:r w:rsidR="00D44C6C" w:rsidRPr="00D44C6C">
        <w:rPr>
          <w:i/>
          <w:iCs/>
          <w:szCs w:val="24"/>
          <w:lang w:val="id-ID"/>
        </w:rPr>
        <w:t>Mafâtîh Al-Ghaib</w:t>
      </w:r>
      <w:r w:rsidR="00D44C6C" w:rsidRPr="00D44C6C">
        <w:rPr>
          <w:szCs w:val="24"/>
          <w:lang w:val="id-ID"/>
        </w:rPr>
        <w:t xml:space="preserve">, 43; Abu-Hayyân, </w:t>
      </w:r>
      <w:r w:rsidR="00D44C6C" w:rsidRPr="00D44C6C">
        <w:rPr>
          <w:i/>
          <w:iCs/>
          <w:szCs w:val="24"/>
          <w:lang w:val="id-ID"/>
        </w:rPr>
        <w:t>Al-Bahr Al-Muhîth</w:t>
      </w:r>
      <w:r w:rsidR="00D44C6C" w:rsidRPr="00D44C6C">
        <w:rPr>
          <w:szCs w:val="24"/>
          <w:lang w:val="id-ID"/>
        </w:rPr>
        <w:t>, 717.</w:t>
      </w:r>
      <w:r>
        <w:fldChar w:fldCharType="end"/>
      </w:r>
    </w:p>
  </w:footnote>
  <w:footnote w:id="45">
    <w:p w14:paraId="38BF8445" w14:textId="247D8540" w:rsidR="00073A06" w:rsidRPr="00D44C6C" w:rsidRDefault="00073A06" w:rsidP="00773BDE">
      <w:pPr>
        <w:pStyle w:val="FootnoteText"/>
        <w:spacing w:afterLines="20" w:after="48"/>
        <w:ind w:firstLine="709"/>
        <w:jc w:val="lowKashida"/>
        <w:rPr>
          <w:lang w:val="sv-SE"/>
        </w:rPr>
      </w:pPr>
      <w:r>
        <w:rPr>
          <w:rStyle w:val="FootnoteReference"/>
        </w:rPr>
        <w:footnoteRef/>
      </w:r>
      <w:r>
        <w:rPr>
          <w:lang w:val="id-ID"/>
        </w:rPr>
        <w:t xml:space="preserve"> </w:t>
      </w:r>
      <w:r w:rsidRPr="003A6BAF">
        <w:rPr>
          <w:rFonts w:asciiTheme="majorBidi" w:hAnsiTheme="majorBidi" w:cstheme="majorBidi"/>
          <w:lang w:val="es-ES"/>
        </w:rPr>
        <w:t xml:space="preserve">Abu </w:t>
      </w:r>
      <w:r w:rsidRPr="003A6BAF">
        <w:rPr>
          <w:rFonts w:asciiTheme="majorBidi" w:hAnsiTheme="majorBidi" w:cstheme="majorBidi"/>
          <w:u w:val="single"/>
          <w:lang w:val="es-ES"/>
        </w:rPr>
        <w:t>H</w:t>
      </w:r>
      <w:r w:rsidRPr="003A6BAF">
        <w:rPr>
          <w:rFonts w:asciiTheme="majorBidi" w:hAnsiTheme="majorBidi" w:cstheme="majorBidi"/>
          <w:lang w:val="es-ES"/>
        </w:rPr>
        <w:t xml:space="preserve">ayyân mengemukakan pendapat ulama` lughah: menurut al-Akhfasy lafal tersebut adalah masdar seperti kata </w:t>
      </w:r>
      <w:proofErr w:type="gramStart"/>
      <w:r w:rsidRPr="003A6BAF">
        <w:rPr>
          <w:rFonts w:asciiTheme="majorBidi" w:hAnsiTheme="majorBidi" w:cstheme="majorBidi"/>
          <w:rtl/>
        </w:rPr>
        <w:t>معقول ,</w:t>
      </w:r>
      <w:proofErr w:type="gramEnd"/>
      <w:r w:rsidRPr="003A6BAF">
        <w:rPr>
          <w:rFonts w:asciiTheme="majorBidi" w:hAnsiTheme="majorBidi" w:cstheme="majorBidi"/>
          <w:rtl/>
        </w:rPr>
        <w:t xml:space="preserve"> مجلود</w:t>
      </w:r>
      <w:r w:rsidRPr="003A6BAF">
        <w:rPr>
          <w:rFonts w:asciiTheme="majorBidi" w:hAnsiTheme="majorBidi" w:cstheme="majorBidi"/>
          <w:lang w:val="es-ES"/>
        </w:rPr>
        <w:t xml:space="preserve">, tetapi menurut Sibawaih tidak tepat isim maf’ûl sebagai masdar. </w:t>
      </w:r>
      <w:r w:rsidRPr="003A6BAF">
        <w:rPr>
          <w:rFonts w:asciiTheme="majorBidi" w:hAnsiTheme="majorBidi" w:cstheme="majorBidi"/>
          <w:lang w:val="sv-SE"/>
        </w:rPr>
        <w:t xml:space="preserve">Alasan al-Akhfasy, karena kalimat tersebut lazim dikalangan orang Arab. Adapun mengidhafakan (menyandarkan) pada hâ` dhamir ghaib sebagai gantinya </w:t>
      </w:r>
      <w:r w:rsidRPr="003A6BAF">
        <w:rPr>
          <w:rFonts w:asciiTheme="majorBidi" w:hAnsiTheme="majorBidi" w:cstheme="majorBidi"/>
          <w:i/>
          <w:iCs/>
          <w:lang w:val="sv-SE"/>
        </w:rPr>
        <w:t>tâ</w:t>
      </w:r>
      <w:r w:rsidRPr="003A6BAF">
        <w:rPr>
          <w:rFonts w:asciiTheme="majorBidi" w:hAnsiTheme="majorBidi" w:cstheme="majorBidi"/>
          <w:lang w:val="sv-SE"/>
        </w:rPr>
        <w:t xml:space="preserve">`, hal ini kadang dijumpai dalam beberapa syair sebagaimana diungkap Abu </w:t>
      </w:r>
      <w:r w:rsidRPr="003A6BAF">
        <w:rPr>
          <w:rFonts w:asciiTheme="majorBidi" w:hAnsiTheme="majorBidi" w:cstheme="majorBidi"/>
          <w:u w:val="single"/>
          <w:lang w:val="sv-SE"/>
        </w:rPr>
        <w:t>H</w:t>
      </w:r>
      <w:r w:rsidRPr="003A6BAF">
        <w:rPr>
          <w:rFonts w:asciiTheme="majorBidi" w:hAnsiTheme="majorBidi" w:cstheme="majorBidi"/>
          <w:lang w:val="sv-SE"/>
        </w:rPr>
        <w:t xml:space="preserve">ayyân: </w:t>
      </w:r>
      <w:r w:rsidRPr="003A6BAF">
        <w:rPr>
          <w:rFonts w:asciiTheme="majorBidi" w:hAnsiTheme="majorBidi" w:cstheme="majorBidi"/>
          <w:rtl/>
        </w:rPr>
        <w:t>ابلغ النعمان عني مألكا * أنه قد طال</w:t>
      </w:r>
      <w:r w:rsidRPr="003A6BAF">
        <w:rPr>
          <w:rFonts w:asciiTheme="majorBidi" w:hAnsiTheme="majorBidi" w:cstheme="majorBidi"/>
          <w:lang w:val="sv-SE"/>
        </w:rPr>
        <w:t xml:space="preserve"> </w:t>
      </w:r>
      <w:r w:rsidRPr="003A6BAF">
        <w:rPr>
          <w:rFonts w:asciiTheme="majorBidi" w:hAnsiTheme="majorBidi" w:cstheme="majorBidi"/>
          <w:rtl/>
        </w:rPr>
        <w:t xml:space="preserve"> حبسي وانتظار</w:t>
      </w:r>
      <w:r w:rsidRPr="003A6BAF">
        <w:rPr>
          <w:rFonts w:asciiTheme="majorBidi" w:hAnsiTheme="majorBidi" w:cstheme="majorBidi"/>
          <w:lang w:val="sv-SE"/>
        </w:rPr>
        <w:t xml:space="preserve">  kata </w:t>
      </w:r>
      <w:r w:rsidRPr="003A6BAF">
        <w:rPr>
          <w:rFonts w:asciiTheme="majorBidi" w:hAnsiTheme="majorBidi" w:cstheme="majorBidi"/>
          <w:rtl/>
        </w:rPr>
        <w:t>مألكا</w:t>
      </w:r>
      <w:r w:rsidRPr="003A6BAF">
        <w:rPr>
          <w:rFonts w:asciiTheme="majorBidi" w:hAnsiTheme="majorBidi" w:cstheme="majorBidi"/>
          <w:lang w:val="sv-SE"/>
        </w:rPr>
        <w:t xml:space="preserve"> asalnya </w:t>
      </w:r>
      <w:r w:rsidRPr="003A6BAF">
        <w:rPr>
          <w:rFonts w:asciiTheme="majorBidi" w:hAnsiTheme="majorBidi" w:cstheme="majorBidi"/>
          <w:rtl/>
        </w:rPr>
        <w:t xml:space="preserve">مألكة </w:t>
      </w:r>
      <w:r w:rsidRPr="003A6BAF">
        <w:rPr>
          <w:rFonts w:asciiTheme="majorBidi" w:hAnsiTheme="majorBidi" w:cstheme="majorBidi"/>
          <w:lang w:val="sv-SE"/>
        </w:rPr>
        <w:t xml:space="preserve">  </w:t>
      </w:r>
      <w:r w:rsidRPr="003A6BAF">
        <w:rPr>
          <w:rFonts w:asciiTheme="majorBidi" w:hAnsiTheme="majorBidi" w:cstheme="majorBidi"/>
          <w:i/>
          <w:iCs/>
          <w:lang w:val="sv-SE"/>
        </w:rPr>
        <w:t>ta</w:t>
      </w:r>
      <w:r w:rsidRPr="003A6BAF">
        <w:rPr>
          <w:rFonts w:asciiTheme="majorBidi" w:hAnsiTheme="majorBidi" w:cstheme="majorBidi"/>
          <w:lang w:val="sv-SE"/>
        </w:rPr>
        <w:t xml:space="preserve">` diganti </w:t>
      </w:r>
      <w:r w:rsidRPr="003A6BAF">
        <w:rPr>
          <w:rFonts w:asciiTheme="majorBidi" w:hAnsiTheme="majorBidi" w:cstheme="majorBidi"/>
          <w:i/>
          <w:iCs/>
          <w:lang w:val="sv-SE"/>
        </w:rPr>
        <w:t>alif</w:t>
      </w:r>
      <w:r w:rsidRPr="003A6BAF">
        <w:rPr>
          <w:rFonts w:asciiTheme="majorBidi" w:hAnsiTheme="majorBidi" w:cstheme="majorBidi"/>
          <w:lang w:val="sv-SE"/>
        </w:rPr>
        <w:t xml:space="preserve"> karena dharurah syi’ir.</w:t>
      </w:r>
      <w:r w:rsidRPr="00073A06">
        <w:rPr>
          <w:lang w:val="sv-SE"/>
        </w:rPr>
        <w:t xml:space="preserve"> </w:t>
      </w:r>
      <w:r>
        <w:fldChar w:fldCharType="begin"/>
      </w:r>
      <w:r w:rsidR="00D44C6C">
        <w:rPr>
          <w:lang w:val="sv-SE"/>
        </w:rPr>
        <w:instrText xml:space="preserve"> ADDIN ZOTERO_ITEM CSL_CITATION {"citationID":"a13e6fg4qpu","properties":{"formattedCitation":"Abu-Hayy\\uc0\\u226{}n, {\\i{}Al-Bahr Al-Muh\\uc0\\u238{}th}, 718.","plainCitation":"Abu-Hayyân, Al-Bahr Al-Muhîth, 718.","noteIndex":46},"citationItems":[{"id":9742,"uris":["http://zotero.org/users/local/iFg5M8U2/items/87TGQPGK"],"itemData":{"id":9742,"type":"book","event-place":"Beirut","publisher":"Dar al-Fikr","publisher-place":"Beirut","title":"Al-Bahr Al-Muhîth","author":[{"family":"Abu-Hayyân","given":"Muhammad ibn Yusuf Al Andalusi"}],"issued":{"date-parts":[["1403"]]}},"locator":"718","label":"page"}],"schema":"https://github.com/citation-style-language/schema/raw/master/csl-citation.json"} </w:instrText>
      </w:r>
      <w:r>
        <w:fldChar w:fldCharType="separate"/>
      </w:r>
      <w:r w:rsidR="00D44C6C" w:rsidRPr="00D44C6C">
        <w:rPr>
          <w:szCs w:val="24"/>
          <w:lang w:val="sv-SE"/>
        </w:rPr>
        <w:t xml:space="preserve">Abu-Hayyân, </w:t>
      </w:r>
      <w:r w:rsidR="00D44C6C" w:rsidRPr="00D44C6C">
        <w:rPr>
          <w:i/>
          <w:iCs/>
          <w:szCs w:val="24"/>
          <w:lang w:val="sv-SE"/>
        </w:rPr>
        <w:t>Al-Bahr Al-Muhîth</w:t>
      </w:r>
      <w:r w:rsidR="00D44C6C" w:rsidRPr="00D44C6C">
        <w:rPr>
          <w:szCs w:val="24"/>
          <w:lang w:val="sv-SE"/>
        </w:rPr>
        <w:t>, 718.</w:t>
      </w:r>
      <w:r>
        <w:fldChar w:fldCharType="end"/>
      </w:r>
    </w:p>
  </w:footnote>
  <w:footnote w:id="46">
    <w:p w14:paraId="740C9AF1" w14:textId="3E1FBB50" w:rsidR="00073A06" w:rsidRPr="00073A06" w:rsidRDefault="00073A06" w:rsidP="00773BDE">
      <w:pPr>
        <w:pStyle w:val="FootnoteText"/>
        <w:ind w:firstLine="709"/>
        <w:rPr>
          <w:lang w:val="id-ID"/>
        </w:rPr>
      </w:pPr>
      <w:r>
        <w:rPr>
          <w:rStyle w:val="FootnoteReference"/>
        </w:rPr>
        <w:footnoteRef/>
      </w:r>
      <w:r>
        <w:t xml:space="preserve"> </w:t>
      </w:r>
      <w:r>
        <w:fldChar w:fldCharType="begin"/>
      </w:r>
      <w:r w:rsidR="00D44C6C">
        <w:instrText xml:space="preserve"> ADDIN ZOTERO_ITEM CSL_CITATION {"citationID":"a1qofg4q3hc","properties":{"formattedCitation":"Mahendra Kusuma and Rosida Diani, \\uc0\\u8216{}Qishash Diyat Dalam Hukum Pidana Islam Lebih Mencerminkan Keadilan Dari Sisi Korban\\uc0\\u8217{}, {\\i{}JURNAL DINAMIKA} 2, no. 2 (31 December 2022): 45\\uc0\\u8211{}54, https://doi.org/10.54895/dinamika.v2i2.1829.","plainCitation":"Mahendra Kusuma and Rosida Diani, ‘Qishash Diyat Dalam Hukum Pidana Islam Lebih Mencerminkan Keadilan Dari Sisi Korban’, JURNAL DINAMIKA 2, no. 2 (31 December 2022): 45–54, https://doi.org/10.54895/dinamika.v2i2.1829.","noteIndex":47},"citationItems":[{"id":7332,"uris":["http://zotero.org/users/local/iFg5M8U2/items/W5Q8JCRQ"],"itemData":{"id":7332,"type":"article-journal","abstract":"Qishash is a death penalty in Islamic criminal law. However, it is not universally applicable. In other words, the perpetrator can avoid qishash if the victim's heirs forgive him by paying a diyat. As demonstrated in several Islamic countries, the qishashdiyat punishment has numerous advantages. Among the difficulties that will be encountered in enforcing these punishments in our country are the following: qishash punishment is considered cruel and inhumane, and will lead to allegations of the Islamization of minority groups. This is what makes Islamic parties not one opinion.","container-title":"JURNAL DINAMIKA","DOI":"10.54895/dinamika.v2i2.1829","ISSN":"2776-8244, 1979-0899","issue":"2","journalAbbreviation":"dinamika","language":"id","note":"number: 2","page":"45-54","source":"DOI.org (Crossref)","title":"Qishash Diyat Dalam Hukum Pidana Islam Lebih Mencerminkan Keadilan Dari Sisi Korban","volume":"2","author":[{"family":"Kusuma","given":"Mahendra"},{"family":"Diani","given":"Rosida"}],"issued":{"date-parts":[["2022",12,31]]}}}],"schema":"https://github.com/citation-style-language/schema/raw/master/csl-citation.json"} </w:instrText>
      </w:r>
      <w:r>
        <w:fldChar w:fldCharType="separate"/>
      </w:r>
      <w:r w:rsidR="00D44C6C" w:rsidRPr="00D44C6C">
        <w:rPr>
          <w:szCs w:val="24"/>
        </w:rPr>
        <w:t xml:space="preserve">Mahendra Kusuma and Rosida Diani, ‘Qishash Diyat Dalam Hukum Pidana Islam Lebih Mencerminkan Keadilan Dari Sisi Korban’, </w:t>
      </w:r>
      <w:r w:rsidR="00D44C6C" w:rsidRPr="00D44C6C">
        <w:rPr>
          <w:i/>
          <w:iCs/>
          <w:szCs w:val="24"/>
        </w:rPr>
        <w:t>JURNAL DINAMIKA</w:t>
      </w:r>
      <w:r w:rsidR="00D44C6C" w:rsidRPr="00D44C6C">
        <w:rPr>
          <w:szCs w:val="24"/>
        </w:rPr>
        <w:t xml:space="preserve"> 2, no. 2 (31 December 2022): 45–54, https://doi.org/10.54895/dinamika.v2i2.1829.</w:t>
      </w:r>
      <w:r>
        <w:fldChar w:fldCharType="end"/>
      </w:r>
    </w:p>
  </w:footnote>
  <w:footnote w:id="47">
    <w:p w14:paraId="25F464A7" w14:textId="2E2FE25F" w:rsidR="006574F6" w:rsidRPr="006574F6" w:rsidRDefault="006574F6" w:rsidP="00773BDE">
      <w:pPr>
        <w:pStyle w:val="FootnoteText"/>
        <w:ind w:firstLine="709"/>
        <w:rPr>
          <w:lang w:val="id-ID"/>
        </w:rPr>
      </w:pPr>
      <w:r>
        <w:rPr>
          <w:rStyle w:val="FootnoteReference"/>
        </w:rPr>
        <w:footnoteRef/>
      </w:r>
      <w:r w:rsidRPr="006574F6">
        <w:rPr>
          <w:lang w:val="id-ID"/>
        </w:rPr>
        <w:t xml:space="preserve"> </w:t>
      </w:r>
      <w:r>
        <w:fldChar w:fldCharType="begin"/>
      </w:r>
      <w:r w:rsidR="00D44C6C">
        <w:rPr>
          <w:lang w:val="id-ID"/>
        </w:rPr>
        <w:instrText xml:space="preserve"> ADDIN ZOTERO_ITEM CSL_CITATION {"citationID":"ac9q446ma7","properties":{"formattedCitation":"Abu-Hayy\\uc0\\u226{}n, {\\i{}Al-Bahr Al-Muh\\uc0\\u238{}th}, 717\\uc0\\u8211{}18; \\uc0\\u8216{}Athiyyah, {\\i{}Muharrar Al-Waj\\uc0\\u238{}z, Juz I}, 352.","plainCitation":"Abu-Hayyân, Al-Bahr Al-Muhîth, 717–18; ‘Athiyyah, Muharrar Al-Wajîz, Juz I, 352.","noteIndex":48},"citationItems":[{"id":9742,"uris":["http://zotero.org/users/local/iFg5M8U2/items/87TGQPGK"],"itemData":{"id":9742,"type":"book","event-place":"Beirut","publisher":"Dar al-Fikr","publisher-place":"Beirut","title":"Al-Bahr Al-Muhîth","author":[{"family":"Abu-Hayyân","given":"Muhammad ibn Yusuf Al Andalusi"}],"issued":{"date-parts":[["1403"]]}},"locator":"717-718","label":"page"},{"id":9748,"uris":["http://zotero.org/users/local/iFg5M8U2/items/LEUAMF6Z"],"itemData":{"id":9748,"type":"book","event-place":"Beirut","publisher":"Dar al-Kutub al-‘Ilmiyah","publisher-place":"Beirut","title":"Muharrar al-Wajîz, Juz I","author":[{"family":"‘Athiyyah","given":"Ibnu"}],"issued":{"date-parts":[["1422"]],"season":"H"}},"locator":"352","label":"page"}],"schema":"https://github.com/citation-style-language/schema/raw/master/csl-citation.json"} </w:instrText>
      </w:r>
      <w:r>
        <w:fldChar w:fldCharType="separate"/>
      </w:r>
      <w:r w:rsidR="00D44C6C" w:rsidRPr="00D44C6C">
        <w:rPr>
          <w:szCs w:val="24"/>
        </w:rPr>
        <w:t xml:space="preserve">Abu-Hayyân, </w:t>
      </w:r>
      <w:r w:rsidR="00D44C6C" w:rsidRPr="00D44C6C">
        <w:rPr>
          <w:i/>
          <w:iCs/>
          <w:szCs w:val="24"/>
        </w:rPr>
        <w:t>Al-Bahr Al-Muhîth</w:t>
      </w:r>
      <w:r w:rsidR="00D44C6C" w:rsidRPr="00D44C6C">
        <w:rPr>
          <w:szCs w:val="24"/>
        </w:rPr>
        <w:t xml:space="preserve">, 717–18; ‘Athiyyah, </w:t>
      </w:r>
      <w:r w:rsidR="00D44C6C" w:rsidRPr="00D44C6C">
        <w:rPr>
          <w:i/>
          <w:iCs/>
          <w:szCs w:val="24"/>
        </w:rPr>
        <w:t>Muharrar Al-Wajîz, Juz I</w:t>
      </w:r>
      <w:r w:rsidR="00D44C6C" w:rsidRPr="00D44C6C">
        <w:rPr>
          <w:szCs w:val="24"/>
        </w:rPr>
        <w:t>, 352.</w:t>
      </w:r>
      <w:r>
        <w:fldChar w:fldCharType="end"/>
      </w:r>
    </w:p>
  </w:footnote>
  <w:footnote w:id="48">
    <w:p w14:paraId="4F1D4BED" w14:textId="162EF4C3" w:rsidR="00392BCF" w:rsidRPr="007E1706" w:rsidRDefault="00392BCF" w:rsidP="00773BDE">
      <w:pPr>
        <w:pStyle w:val="FootnoteText"/>
        <w:ind w:firstLine="709"/>
        <w:jc w:val="lowKashida"/>
        <w:rPr>
          <w:lang w:val="id-ID"/>
        </w:rPr>
      </w:pPr>
      <w:r>
        <w:rPr>
          <w:rStyle w:val="FootnoteReference"/>
        </w:rPr>
        <w:footnoteRef/>
      </w:r>
      <w:r w:rsidRPr="007E1706">
        <w:rPr>
          <w:lang w:val="id-ID"/>
        </w:rPr>
        <w:t xml:space="preserve"> </w:t>
      </w:r>
      <w:r>
        <w:fldChar w:fldCharType="begin"/>
      </w:r>
      <w:r w:rsidR="00D44C6C">
        <w:rPr>
          <w:lang w:val="id-ID"/>
        </w:rPr>
        <w:instrText xml:space="preserve"> ADDIN ZOTERO_ITEM CSL_CITATION {"citationID":"67CX4LRB","properties":{"formattedCitation":"Eva Puspita Sari and Evi Kongres, \\uc0\\u8216{}Kepastian Hukum Terhadap Proses PKPU Pasca Putusan Mahkamah Konstitusi Nomor 23/PUU-XIX/2021\\uc0\\u8217{}, {\\i{}Jurnal Hukum Magnum Opus} 6, no. 1 (23 February 2023): 1\\uc0\\u8211{}13, https://doi.org/10.30996/jhmo.v6i1.7391.","plainCitation":"Eva Puspita Sari and Evi Kongres, ‘Kepastian Hukum Terhadap Proses PKPU Pasca Putusan Mahkamah Konstitusi Nomor 23/PUU-XIX/2021’, Jurnal Hukum Magnum Opus 6, no. 1 (23 February 2023): 1–13, https://doi.org/10.30996/jhmo.v6i1.7391.","noteIndex":49},"citationItems":[{"id":"ADEjw652/lrgmuOBo","uris":["http://zotero.org/users/local/jmSsNa9d/items/YMQ8JVKA"],"itemData":{"id":3880,"type":"article-journal","abstract":"PKPU submissions can be submitted by both creditors and debtors. In the PKPU process, the debtor can submit a peace plan whichcontains an offer for payment of his debt. However, if the peace plan is rejected, it can result in the debtor being declared bankrupt. Article 235 of Law No. 37/2004 states that against a bankruptcy decision preceded by a PKPU case, no legal remedies can be proposed in the decision. Departing from the absence of legal remedies which were deemed to have harmed the position of the debtor, PT. SYS then submitted a judicial review to the Constitutional Court on Article 235 paragraph (1) and Article 293 paragraph (1) of Law No. 37/2004.The Constitutional Court through Decision Number 23/PUU-XIX/2021 opened a cassation of the PKPU decision submitted by the creditor in which the creditor rejected the peace plan submitted by the debtor. This has created legal uncertainty related to the transfer of duties from the administrator to the curator, where when the debtor is declared bankrupt, the curator is appointed to settle the bankruptcy assets but the curator is hesitant to act because the debtor is still making legal efforts in the PKPU process. This study aims to determine legalcertainty regarding the peace plan in the PKPU process after the Constitutional Court Decision Number 23/PUU-XIX/2021. This study usesnormative legal research with a statutory approach.\nKeywords: bankruptcy; legal effort; suspension of payment\nAbstrak\nPengajuan PKPU dapat diajukan baik oleh kreditur maupun debitur. Dalam proses PKPU debitur dapat mengajukan rencana perdamaianyang berisi penawaran terhadap pembayaran utangnya. Namun apabila rencana perdamaian tersebut ditolak maka dapat berakibat debitur dinyatakan pailit. Pasal 235 UU No. 37/2004 menyatakan bahwa terhadap putusan pailit yang didahului oleh perkara PKPU, maka dalamputusannya tidak dapat diajukan upaya hukum  apapun.  Berangkat  dari ketiadaan upaya hukum yang dinilai telah merugikan kedudukandebitur, PT. SYS kemudian mengajukan judicial review ke Mahkamah Konstitusi atas Pasal 235 ayat (1) dan Pasal 293 ayat (1) UU No. 37/2004. Mahkamah Konstitusi melalui Putusan Nomor 23/PUU-XIX/2021 membuka adanya upaya hukum kasasi atas putusan PKPU yangdiajukan oleh kreditur di mana kreditur menolak rencana perdamaian yang diajukan oleh debitur. Hal ini telah memberikan ketidakpastian hukum terkait dengan peralihan tugas dari pengurus ke kurator, di mana ketika debitur dinyatakan pailit maka kurator ditunjuk untuk melakukan pemberesan harta pailit tetapi kurator menjadi ragu untuk bertindak karena debitur masih melakukan upaya hukum dalam prosesPKPU. Penelitian ini bertujuan untuk mengetahui kepastian hukum terhadap rencana perdamaian dalam proses PKPU pasca PutusanMahkamah Konstitusi Nomor 23/PUU-XIX/2021. Penelitian ini menggunakan penelitian hukum normatif dengan pendekatan perundang-undangan.\nKata kunci: kepailitan; penundaan kewajiban pembayaran utang; upaya hukum","container-title":"Jurnal Hukum Magnum Opus","DOI":"10.30996/jhmo.v6i1.7391","ISSN":"2623-274X","issue":"1","language":"en-US","page":"1-13","source":"jurnal.untag-sby.ac.id","title":"Kepastian Hukum Terhadap Proses PKPU Pasca Putusan Mahkamah Konstitusi Nomor 23/PUU-XIX/2021","volume":"6","author":[{"family":"Sari","given":"Eva Puspita"},{"family":"Kongres","given":"Evi"}],"issued":{"date-parts":[["2023",2,23]]}}}],"schema":"https://github.com/citation-style-language/schema/raw/master/csl-citation.json"} </w:instrText>
      </w:r>
      <w:r>
        <w:fldChar w:fldCharType="separate"/>
      </w:r>
      <w:r w:rsidRPr="00392BCF">
        <w:rPr>
          <w:szCs w:val="24"/>
          <w:lang w:val="id-ID"/>
        </w:rPr>
        <w:t xml:space="preserve">Eva Puspita Sari and Evi Kongres, ‘Kepastian Hukum Terhadap Proses PKPU Pasca Putusan Mahkamah Konstitusi Nomor 23/PUU-XIX/2021’, </w:t>
      </w:r>
      <w:r w:rsidRPr="00392BCF">
        <w:rPr>
          <w:i/>
          <w:iCs/>
          <w:szCs w:val="24"/>
          <w:lang w:val="id-ID"/>
        </w:rPr>
        <w:t>Jurnal Hukum Magnum Opus</w:t>
      </w:r>
      <w:r w:rsidRPr="00392BCF">
        <w:rPr>
          <w:szCs w:val="24"/>
          <w:lang w:val="id-ID"/>
        </w:rPr>
        <w:t xml:space="preserve"> 6, no. 1 (23 February 2023): 1–13, https://doi.org/10.30996/jhmo.v6i1.7391.</w:t>
      </w:r>
      <w:r>
        <w:fldChar w:fldCharType="end"/>
      </w:r>
    </w:p>
  </w:footnote>
  <w:footnote w:id="49">
    <w:p w14:paraId="31F6AB40" w14:textId="66ADD710" w:rsidR="00392BCF" w:rsidRPr="007E1706" w:rsidRDefault="00392BCF" w:rsidP="00773BDE">
      <w:pPr>
        <w:pStyle w:val="FootnoteText"/>
        <w:ind w:firstLine="709"/>
        <w:jc w:val="lowKashida"/>
        <w:rPr>
          <w:lang w:val="id-ID"/>
        </w:rPr>
      </w:pPr>
      <w:r>
        <w:rPr>
          <w:rStyle w:val="FootnoteReference"/>
        </w:rPr>
        <w:footnoteRef/>
      </w:r>
      <w:r w:rsidRPr="007E1706">
        <w:rPr>
          <w:lang w:val="id-ID"/>
        </w:rPr>
        <w:t xml:space="preserve"> </w:t>
      </w:r>
      <w:r>
        <w:fldChar w:fldCharType="begin"/>
      </w:r>
      <w:r w:rsidR="00D44C6C">
        <w:rPr>
          <w:lang w:val="id-ID"/>
        </w:rPr>
        <w:instrText xml:space="preserve"> ADDIN ZOTERO_ITEM CSL_CITATION {"citationID":"6ZC3SOri","properties":{"formattedCitation":"Angga Yuristian, \\uc0\\u8216{}Hak Kreditor Separatis Dalam Mengeksekusi Jaminan Kebendaan Dari Debitor Pailit Yang Berasal Dari PKPU\\uc0\\u8217{}, {\\i{}Jurist-Diction} 5, no. 6 (30 November 2022): 2051\\uc0\\u8211{}68, https://doi.org/10.20473/jd.v5i6.40066.","plainCitation":"Angga Yuristian, ‘Hak Kreditor Separatis Dalam Mengeksekusi Jaminan Kebendaan Dari Debitor Pailit Yang Berasal Dari PKPU’, Jurist-Diction 5, no. 6 (30 November 2022): 2051–68, https://doi.org/10.20473/jd.v5i6.40066.","noteIndex":50},"citationItems":[{"id":"ADEjw652/DH1PIMZX","uris":["http://zotero.org/users/local/jmSsNa9d/items/GH36CUMY"],"itemData":{"id":3881,"type":"article-journal","abstract":"AbstractBankruptcy and Suspension of Debt Payment Obligations can occur to a company due to the inability to pay debts. PT. Baggai Jaya expedition in this study had debts that were past due and could be collected, so one of its creditors filed a PKPU legal action to obtain certainty regarding the payment of its receivables. The failure to achieve peace in the PKPU resulted in the debtor being automatically declared bankrupt by the Commercial Court. In this case, the separatist creditor cannot carry out the execution of the debtor's guarantee and must wait for the process of managing and settling the debtor's bankrupt assets. Based on this description, the author is interested in studying the authority of separatist creditors in executing guarantees in the event of bankruptcy originating from PKPU. The author uses a normative juridical research method and the results show that separatist creditors should have the right to carry out automatic executions if the debtor does not pay his debts past the time limit given in accordance with the agreement. So that the authority to execute separatist creditors means that it appears automatically when insolvency occurs, namely when the debtor is declared bankrupt. Keywords: Authority; Separatist Creditors; Bankruptcy; Suspension of Debt Payment Obligations; Execution.\nAbstrakPailit dan Penundaan Kewajiban Pembayaran Utang dapat terjadi kepada suatu perusahaan akibat ketidakmampuan untuk membayar utang. PT. Ekspedisi Baggai Jaya pada penelitian ini memiliki utang yang telah jatuh tempo dan dapat ditagih, sehingga salah satu kreditornya mengajukan upaya hukum PKPU untuk mendapatkan kepastian mengenai pembayaran piutangnya. Tidak tercapainya perdamaian pada PKPU mengakibatkan debitor secara otomatis dinyatakan pailit oleh Pengadilan Niaga. Pada kasus ini, kreditor separatis tidak dapat melaksanakan eksekusi atas jaminan debitor dan harus menunggu proses pengurusan dan pemberesan harta pailit debitor. Berdasarkan uraian tersebut penulis tertarik untuk mengkaji mengenai kewenangan kreditor separatis dalam melakukan eksekusi jaminan saat terjadi pailit yang berasal dari PKPU. Penulis menggunakan metode penelitian yuridis normatif dan dari hasil penelitian menunjukkan bahwa kreditor separatis seharusnya memiliki hak untuk melakukan eksekusi secara otomatis apabila debitor tidak membayar utangnya melewati batas waktu yang diberikan sesuai dengan perjanjian. Sehingga wewenang untuk melakukan eksekusi kreditor separatis berarti muncul secara otomatis saat terjadi insolvensi yaitu saat debitor dinyatakan pailit.Kata Kunci: Kewenangan; Kreditor Separatis; Pailit; Penundaan Kewajiban Pembayaran Utang; Eksekusi.","container-title":"Jurist-Diction","DOI":"10.20473/jd.v5i6.40066","ISSN":"2655-8297","issue":"6","language":"en","license":"Copyright (c) 2022 Angga Yuristian","note":"number: 6","page":"2051-2068","source":"e-journal.unair.ac.id","title":"Hak Kreditor Separatis Dalam Mengeksekusi Jaminan Kebendaan Dari Debitor Pailit yang Berasal Dari PKPU","volume":"5","author":[{"family":"Yuristian","given":"Angga"}],"issued":{"date-parts":[["2022",11,30]]}}}],"schema":"https://github.com/citation-style-language/schema/raw/master/csl-citation.json"} </w:instrText>
      </w:r>
      <w:r>
        <w:fldChar w:fldCharType="separate"/>
      </w:r>
      <w:r w:rsidRPr="00392BCF">
        <w:rPr>
          <w:szCs w:val="24"/>
          <w:lang w:val="id-ID"/>
        </w:rPr>
        <w:t xml:space="preserve">Angga Yuristian, ‘Hak Kreditor Separatis Dalam Mengeksekusi Jaminan Kebendaan Dari Debitor Pailit Yang Berasal Dari PKPU’, </w:t>
      </w:r>
      <w:r w:rsidRPr="00392BCF">
        <w:rPr>
          <w:i/>
          <w:iCs/>
          <w:szCs w:val="24"/>
          <w:lang w:val="id-ID"/>
        </w:rPr>
        <w:t>Jurist-Diction</w:t>
      </w:r>
      <w:r w:rsidRPr="00392BCF">
        <w:rPr>
          <w:szCs w:val="24"/>
          <w:lang w:val="id-ID"/>
        </w:rPr>
        <w:t xml:space="preserve"> 5, no. 6 (30 November 2022): 2051–68, https://doi.org/10.20473/jd.v5i6.40066.</w:t>
      </w:r>
      <w:r>
        <w:fldChar w:fldCharType="end"/>
      </w:r>
    </w:p>
  </w:footnote>
  <w:footnote w:id="50">
    <w:p w14:paraId="5F147C28" w14:textId="247EE1FE" w:rsidR="00392BCF" w:rsidRPr="007E1706" w:rsidRDefault="00392BCF" w:rsidP="00773BDE">
      <w:pPr>
        <w:pStyle w:val="FootnoteText"/>
        <w:ind w:firstLine="709"/>
        <w:jc w:val="lowKashida"/>
        <w:rPr>
          <w:lang w:val="id-ID"/>
        </w:rPr>
      </w:pPr>
      <w:r>
        <w:rPr>
          <w:rStyle w:val="FootnoteReference"/>
        </w:rPr>
        <w:footnoteRef/>
      </w:r>
      <w:r w:rsidRPr="007E1706">
        <w:rPr>
          <w:lang w:val="id-ID"/>
        </w:rPr>
        <w:t xml:space="preserve"> </w:t>
      </w:r>
      <w:r>
        <w:fldChar w:fldCharType="begin"/>
      </w:r>
      <w:r w:rsidR="00D44C6C">
        <w:rPr>
          <w:lang w:val="id-ID"/>
        </w:rPr>
        <w:instrText xml:space="preserve"> ADDIN ZOTERO_ITEM CSL_CITATION {"citationID":"8H1fvXWA","properties":{"formattedCitation":"Ramadhan Siddik Pane and Sawaluddin Siregar, \\uc0\\u8216{}Qiyas Sebagai Konstitusi Keempat Dalam Islam: Implementasi Qiyas Dalam Konteks Siyasah\\uc0\\u8217{}, {\\i{}Jurnal EL-QANUNIY: Jurnal Ilmu-Ilmu Kesyariahan Dan Pranata Sosial} 8, no. 2 (2022): 153\\uc0\\u8211{}206, https://doi.org/10.24952/el-qanuniy.v8i2.6224.","plainCitation":"Ramadhan Siddik Pane and Sawaluddin Siregar, ‘Qiyas Sebagai Konstitusi Keempat Dalam Islam: Implementasi Qiyas Dalam Konteks Siyasah’, Jurnal EL-QANUNIY: Jurnal Ilmu-Ilmu Kesyariahan Dan Pranata Sosial 8, no. 2 (2022): 153–206, https://doi.org/10.24952/el-qanuniy.v8i2.6224.","noteIndex":51},"citationItems":[{"id":"ADEjw652/kU0wMmao","uris":["http://zotero.org/users/local/jmSsNa9d/items/HD9AMGW7"],"itemData":{"id":3883,"type":"article-journal","abstract":"The problem faced by Muslims today in a constitutional context is a complex one. A revolutionary solution is needed to answer the problem and it is certainly not enough to use the classical Islamic legal methods. When viewed in the Islamic constitution, many of the problems that arise today are textually absent from the provisions of the law. Thus, to answer these problems requires a systematic methodology and legal formulation. In answering and formulating legal provisions in contemporary cases, it can be done by the qiyas method. This study aims to formulate the qiyas methodology as the fourth constitution in Islam to answer all problems of Muslims in the context of siyasah. Various things that are the object of research are in the fields of siyasah harbiyah, siyasah dusturiyah, and siyasah maliyah. The three siyasah in the national constitutional system are known as the state defense system, the state legislative system, and the state revenue and taxation system.   To facilitate this research, the author utilizes the theory of literature research with a qualitative research approach. Researchers first formulate one problem and then collect various literature models related to the theme. Then the researcher analyzes each of these literatures to formulate qiyas formulations in the context of siyasah. The main problem in this study is how the formulation of qiyas in formulating Islamic law and how to implement qiyas in the issue of siyasah. Therefore, the results of this study can be described as showing that the formulation of qiyas must meet four pillars, namely the initial case, the initial case law, the branch case, and the 'illat law between the two cases. Then qiyas can be implemented in answering problems in the field of siyasah harbiyah, siyasah dusturiyah, and siyasah maliyah Keywords: Constitution, Qiyas, Siyasah","container-title":"Jurnal EL-QANUNIY: Jurnal Ilmu-Ilmu Kesyariahan dan Pranata Sosial","DOI":"10.24952/el-qanuniy.v8i2.6224","ISSN":"2580-7307","issue":"2","language":"en","license":"Copyright (c) 2022 Jurnal el-Qanuniy: Jurnal Ilmu-Ilmu Kesyariahan dan Pranata Sosial","note":"number: 2","page":"153-206","source":"jurnal.uinsyahada.ac.id","title":"Qiyas sebagai Konstitusi Keempat dalam Islam: Implementasi Qiyas dalam Konteks Siyasah","title-short":"Qiyas sebagai Konstitusi Keempat dalam Islam","volume":"8","author":[{"family":"Pane","given":"Ramadhan Siddik"},{"family":"Siregar","given":"Sawaluddin"}],"issued":{"date-parts":[["2022"]]}}}],"schema":"https://github.com/citation-style-language/schema/raw/master/csl-citation.json"} </w:instrText>
      </w:r>
      <w:r>
        <w:fldChar w:fldCharType="separate"/>
      </w:r>
      <w:r w:rsidRPr="00392BCF">
        <w:rPr>
          <w:szCs w:val="24"/>
          <w:lang w:val="id-ID"/>
        </w:rPr>
        <w:t xml:space="preserve">Ramadhan Siddik Pane and Sawaluddin Siregar, ‘Qiyas Sebagai Konstitusi Keempat Dalam Islam: Implementasi Qiyas Dalam Konteks Siyasah’, </w:t>
      </w:r>
      <w:r w:rsidRPr="00392BCF">
        <w:rPr>
          <w:i/>
          <w:iCs/>
          <w:szCs w:val="24"/>
          <w:lang w:val="id-ID"/>
        </w:rPr>
        <w:t>Jurnal EL-QANUNIY: Jurnal Ilmu-Ilmu Kesyariahan Dan Pranata Sosial</w:t>
      </w:r>
      <w:r w:rsidRPr="00392BCF">
        <w:rPr>
          <w:szCs w:val="24"/>
          <w:lang w:val="id-ID"/>
        </w:rPr>
        <w:t xml:space="preserve"> 8, no. 2 (2022): 153–206, https://doi.org/10.24952/el-qanuniy.v8i2.6224.</w:t>
      </w:r>
      <w:r>
        <w:fldChar w:fldCharType="end"/>
      </w:r>
    </w:p>
  </w:footnote>
  <w:footnote w:id="51">
    <w:p w14:paraId="2FEBF66E" w14:textId="7762FEB2" w:rsidR="00392BCF" w:rsidRPr="007E1706"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{"citationID":"TW1iZnew","properties":{"formattedCitation":"M. H. SRIANI, \\uc0\\u8216{}Violation of Human Right for Collateral Fraud in Sharia Financial Institution Based on Fiduciary Guaranty Law and Rahn Law\\uc0\\u8217{}, 2023, http://e-repository.perpus.uinsalatiga.ac.id/17156/.","plainCitation":"M. H. SRIANI, ‘Violation of Human Right for Collateral Fraud in Sharia Financial Institution Based on Fiduciary Guaranty Law and Rahn Law’, 2023, http://e-repository.perpus.uinsalatiga.ac.id/17156/.","dontUpdate":true,"noteIndex":52},"citationItems":[{"id":"ADEjw652/FD458NT0","uris":["http://zotero.org/users/local/jmSsNa9d/items/IEYZ7AU9"],"itemData":{"id":3885,"type":"article-journal","abstract":"Fiduciary law in Indonesia and the Islamic concept prohibit the use of collateral that is not one’s own and without the authorization of the owner, but the reality that occurs at BMT BM is not the case. This research aims to analyze the practice of using objects on behalf of others as collateral for ijarah multijasa financing in sharia financial institutions from the perspective of Fiduciary Guarantee Law and Rahn Law. This research is a field study with a legal approach. The empirical results show that although it has been regulated in the law, the use of objects that are not owned and without the permission of the owner as collateral still occurs. There is a way to circumvent the rules, particularly when it comes to the creditor’s obligation to register fiduciary objects but reluctance to do so. As a result, protecting third parties is not achieved. The findings indicate that, to ensure that the parties’ rights are still protected, the government must create a legislation on fiduciary that will take into account debtors with tiny nominal debts who feel burdened by the costs of registering fiduciary objects, as was the case in BMT BM.","language":"en","note":"publisher: IAIN SALATIGA","source":"e-repository.perpus.uinsalatiga.ac.id","title":"Violation of Human Right for Collateral Fraud in Sharia Financial Institution Based on Fiduciary Guaranty Law and Rahn Law","URL":"http://e-repository.perpus.uinsalatiga.ac.id/17156/","author":[{"family":"SRIANI","given":"M. H."}],"accessed":{"date-parts":[["2024",9,16]]},"issued":{"date-parts":[["2023"]]}}}],"schema":"https://github.com/citation-style-language/schema/raw/master/csl-citation.json"} </w:instrText>
      </w:r>
      <w:r>
        <w:fldChar w:fldCharType="separate"/>
      </w:r>
      <w:r w:rsidR="006574F6">
        <w:rPr>
          <w:szCs w:val="24"/>
          <w:lang w:val="id-ID"/>
        </w:rPr>
        <w:t>M</w:t>
      </w:r>
      <w:r w:rsidR="006574F6" w:rsidRPr="00392BCF">
        <w:rPr>
          <w:szCs w:val="24"/>
        </w:rPr>
        <w:t>. H. Sriani</w:t>
      </w:r>
      <w:r w:rsidRPr="00392BCF">
        <w:rPr>
          <w:szCs w:val="24"/>
        </w:rPr>
        <w:t>, ‘Violation of Human Right for Collateral Fraud in Sharia Financial Institution Based on Fiduciary Guaranty Law and Rahn Law’, 2023, http://e-repository.perpus.uinsalatiga.ac.id/17156/.</w:t>
      </w:r>
      <w:r>
        <w:fldChar w:fldCharType="end"/>
      </w:r>
    </w:p>
  </w:footnote>
  <w:footnote w:id="52">
    <w:p w14:paraId="44F92319" w14:textId="10029603"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sidR="00D44C6C">
        <w:rPr>
          <w:rFonts w:asciiTheme="majorBidi" w:hAnsiTheme="majorBidi" w:cstheme="majorBidi"/>
        </w:rPr>
        <w:instrText xml:space="preserve"> ADDIN ZOTERO_ITEM CSL_CITATION {"citationID":"EQkN2NES","properties":{"formattedCitation":"Mohamed Abdelgelil, Abubakar, and Hassan, \\uc0\\u8216{}A Rhetorical Analysis of Informative, Interrogative, and Declarative Utterances in Tawjeeh al-Qira\\uc0\\u8217{}at al-Mutawatirah\\uc0\\u8217{}.","plainCitation":"Mohamed Abdelgelil, Abubakar, and Hassan, ‘A Rhetorical Analysis of Informative, Interrogative, and Declarative Utterances in Tawjeeh al-Qira’at al-Mutawatirah’.","noteIndex":53},"citationItems":[{"id":"ADEjw652/sEDO8OLo","uris":["http://zotero.org/users/local/jmSsNa9d/items/SMF5APIQ"],"itemData":{"id":1554,"type":"article-journal","abstract":"A pesquisa sobre al-Qira'at al-Mutawtirah (modos autênticos de recitação) é muito limitada. Este artigo, portanto, tem como objetivo explorar a retórica de al-Qira’at al-Mutawtirah à luz das manifestações retóricas árabes. Tais manifestações incluem enunciados informativos, interrogativos e declarativos. Os pesquisadores empregaram uma abordagem analítica para analisar as instâncias selecionadas de al-Qira'at al-Mutawtirah no Alcorão, em que tais declarações foram cuidadosamente examinadas. O estudo revelou que a retórica de al-Qira'at al-Mutawtirah se manifesta em seus significados. Os significados de Qira'at podem ser aprofundados quando tentamos descobrir suas manifestações retóricas subjacentes. Além disso, os significados ocultos de Qira'at podem ser descobertos quando combinamos os significados de Qira'at. Previu-se que este estudo pudesse avançar nosso conhecimento sobre o papel dos diferentes modos de citações na compreensão dos significados do Alcorão.","container-title":"Revista EntreLinguas","DOI":"10.29051/el.v8i00.17674","journalAbbreviation":"Revista EntreLinguas","page":"e022074","source":"ResearchGate","title":"A rhetorical analysis of informative, interrogative, and declarative utterances in Tawjeeh al-Qira’at al-Mutawatirah","author":[{"family":"Mohamed Abdelgelil","given":"Mohamed Fathy"},{"family":"Abubakar","given":"Muhammad Habib"},{"family":"Hassan","given":"Isyaku"}],"issued":{"date-parts":[["2022",12,30]]}}}],"schema":"https://github.com/citation-style-language/schema/raw/master/csl-citation.json"} </w:instrText>
      </w:r>
      <w:r w:rsidRPr="003A6BAF">
        <w:rPr>
          <w:rFonts w:asciiTheme="majorBidi" w:hAnsiTheme="majorBidi" w:cstheme="majorBidi"/>
        </w:rPr>
        <w:fldChar w:fldCharType="separate"/>
      </w:r>
      <w:r w:rsidRPr="00392BCF">
        <w:rPr>
          <w:szCs w:val="24"/>
        </w:rPr>
        <w:t>Mohamed Abdelgelil, Abubakar, and Hassan, ‘A Rhetorical Analysis of Informative, Interrogative, and Declarative Utterances in Tawjeeh al-Qira’at al-Mutawatirah’.</w:t>
      </w:r>
      <w:r w:rsidRPr="003A6BAF">
        <w:rPr>
          <w:rFonts w:asciiTheme="majorBidi" w:hAnsiTheme="majorBidi" w:cstheme="majorBidi"/>
        </w:rPr>
        <w:fldChar w:fldCharType="end"/>
      </w:r>
    </w:p>
  </w:footnote>
  <w:footnote w:id="53">
    <w:p w14:paraId="07560313" w14:textId="1B3B0A74"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rPr>
        <w:t xml:space="preserve"> </w:t>
      </w:r>
      <w:r w:rsidRPr="003A6BAF">
        <w:rPr>
          <w:rFonts w:asciiTheme="majorBidi" w:hAnsiTheme="majorBidi" w:cstheme="majorBidi"/>
        </w:rPr>
        <w:fldChar w:fldCharType="begin"/>
      </w:r>
      <w:r w:rsidR="00D44C6C">
        <w:rPr>
          <w:rFonts w:asciiTheme="majorBidi" w:hAnsiTheme="majorBidi" w:cstheme="majorBidi"/>
        </w:rPr>
        <w:instrText xml:space="preserve"> ADDIN ZOTERO_ITEM CSL_CITATION {"citationID":"kWfEKOnb","properties":{"formattedCitation":"Hoda Oyarhoseyn and Younes Karamati, \\uc0\\u8216{}The Persian Redaction of \\uc0\\u8216{}Al\\uc0\\u257{}\\uc0\\u8217{}\\uc0\\u299{} Maghrib\\uc0\\u299{}\\uc0\\u8217{}s Taqw\\uc0\\u299{}m al-\\uc0\\u8217{}Adw\\uc0\\u299{}yah and Its Parallel Texts\\uc0\\u8217{}, {\\i{}A Quarterly Journal of Historical Studies of Islam} 14, no. 53 (10 July 2022): 5\\uc0\\u8211{}29, https://doi.org/10.52547/pte.14.53.5.","plainCitation":"Hoda Oyarhoseyn and Younes Karamati, ‘The Persian Redaction of ‘Alā’ī Maghribī’s Taqwīm al-’Adwīyah and Its Parallel Texts’, A Quarterly Journal of Historical Studies of Islam 14, no. 53 (10 July 2022): 5–29, https://doi.org/10.52547/pte.14.53.5.","noteIndex":54},"citationItems":[{"id":"ADEjw652/TnUR0Xez","uris":["http://zotero.org/users/local/jmSsNa9d/items/NQ63PZME"],"itemData":{"id":1319,"type":"article-journal","abstract":"The first treatise in codex 2743 of Library of The Parliament of Iran, which cataloguers guess to be a work of the Ḥubay&amp;scaron; Tiflīsī, is a Persian redaction of &amp;lsquo;Alā&amp;rsquo;ī Maghribī&amp;rsquo;s Taqwīm al-&amp;rsquo;Adwīyah (ca. 550AH). The redactor had added some entries, numerous points, as well as a row, to mention the Indian names ...","container-title":"A Quarterly Journal of Historical Studies of Islam","DOI":"10.52547/pte.14.53.5","issue":"53","language":"en","note":"publisher: A Quarterly Journal of Historical Studies of Islam","page":"5-29","source":"journal.pte.ac.ir","title":"The Persian Redaction of ‘Alā’ī Maghribī’s Taqwīm al-’Adwīyah and Its Parallel Texts","volume":"14","author":[{"family":"Oyarhoseyn","given":"Hoda"},{"family":"Karamati","given":"Younes"}],"issued":{"date-parts":[["2022",7,10]]}}}],"schema":"https://github.com/citation-style-language/schema/raw/master/csl-citation.json"} </w:instrText>
      </w:r>
      <w:r w:rsidRPr="003A6BAF">
        <w:rPr>
          <w:rFonts w:asciiTheme="majorBidi" w:hAnsiTheme="majorBidi" w:cstheme="majorBidi"/>
        </w:rPr>
        <w:fldChar w:fldCharType="separate"/>
      </w:r>
      <w:r w:rsidRPr="00392BCF">
        <w:rPr>
          <w:szCs w:val="24"/>
        </w:rPr>
        <w:t xml:space="preserve">Hoda Oyarhoseyn and Younes Karamati, ‘The Persian Redaction of ‘Alā’ī Maghribī’s Taqwīm al-’Adwīyah and Its Parallel Texts’, </w:t>
      </w:r>
      <w:r w:rsidRPr="00392BCF">
        <w:rPr>
          <w:i/>
          <w:iCs/>
          <w:szCs w:val="24"/>
        </w:rPr>
        <w:t>A Quarterly Journal of Historical Studies of Islam</w:t>
      </w:r>
      <w:r w:rsidRPr="00392BCF">
        <w:rPr>
          <w:szCs w:val="24"/>
        </w:rPr>
        <w:t xml:space="preserve"> 14, no. 53 (10 July 2022): 5–29, https://doi.org/10.52547/pte.14.53.5.</w:t>
      </w:r>
      <w:r w:rsidRPr="003A6BAF">
        <w:rPr>
          <w:rFonts w:asciiTheme="majorBidi" w:hAnsiTheme="majorBidi" w:cstheme="majorBidi"/>
        </w:rPr>
        <w:fldChar w:fldCharType="end"/>
      </w:r>
    </w:p>
  </w:footnote>
  <w:footnote w:id="54">
    <w:p w14:paraId="7C8D8A74" w14:textId="2BA8E57C" w:rsidR="00392BCF" w:rsidRPr="003A6BAF" w:rsidRDefault="00392BCF" w:rsidP="00773BDE">
      <w:pPr>
        <w:pStyle w:val="FootnoteText"/>
        <w:ind w:firstLine="709"/>
        <w:jc w:val="lowKashida"/>
        <w:rPr>
          <w:rFonts w:asciiTheme="majorBidi" w:hAnsiTheme="majorBidi" w:cstheme="majorBidi"/>
          <w:lang w:val="id-ID"/>
        </w:rPr>
      </w:pPr>
      <w:r w:rsidRPr="003A6BAF">
        <w:rPr>
          <w:rStyle w:val="FootnoteReference"/>
          <w:rFonts w:asciiTheme="majorBidi" w:hAnsiTheme="majorBidi" w:cstheme="majorBidi"/>
        </w:rPr>
        <w:footnoteRef/>
      </w:r>
      <w:r w:rsidRPr="003A6BAF">
        <w:rPr>
          <w:rFonts w:asciiTheme="majorBidi" w:hAnsiTheme="majorBidi" w:cstheme="majorBidi"/>
          <w:lang w:val="id-ID"/>
        </w:rPr>
        <w:t xml:space="preserve"> </w:t>
      </w:r>
      <w:r w:rsidRPr="003A6BAF">
        <w:rPr>
          <w:rFonts w:asciiTheme="majorBidi" w:hAnsiTheme="majorBidi" w:cstheme="majorBidi"/>
        </w:rPr>
        <w:fldChar w:fldCharType="begin"/>
      </w:r>
      <w:r w:rsidR="00D44C6C">
        <w:rPr>
          <w:rFonts w:asciiTheme="majorBidi" w:hAnsiTheme="majorBidi" w:cstheme="majorBidi"/>
          <w:lang w:val="id-ID"/>
        </w:rPr>
        <w:instrText xml:space="preserve"> ADDIN ZOTERO_ITEM CSL_CITATION {"citationID":"NANU7okK","properties":{"formattedCitation":"Nurul Izzah, Nandang Ihwanudin, and Yayat Rahmat Hidayat, \\uc0\\u8216{}Tinjauan Hukum Islam Terhadap Penerapan Pembayaran Royalti Buku\\uc0\\u8217{}, {\\i{}Bandung Conference Series: Sharia Economic Law} 3, no. 1 (27 January 2023): 161\\uc0\\u8211{}67, https://doi.org/10.29313/bcssel.v3i1.5599.","plainCitation":"Nurul Izzah, Nandang Ihwanudin, and Yayat Rahmat Hidayat, ‘Tinjauan Hukum Islam Terhadap Penerapan Pembayaran Royalti Buku’, Bandung Conference Series: Sharia Economic Law 3, no. 1 (27 January 2023): 161–67, https://doi.org/10.29313/bcssel.v3i1.5599.","noteIndex":55},"citationItems":[{"id":"ADEjw652/cWizwvzR","uris":["http://zotero.org/users/local/jmSsNa9d/items/TV3FQG5Y"],"itemData":{"id":1704,"type":"article-journal","abstract":"Abstract. Royalties are compensation for the use of the economic rights of a work or related product received by the creator or owner of the related right. There are differences of opinion regarding the payment of royalties based on a syirkah contract. This study aims to determine the application of book royalty payments in terms of Islamic law. The method used is qualitative and the type of research is field research and literature. The data collection technique used was interviews with managers of Magama Publishing publishers and Despersa writers. The data sources used come from primary and secondary data sources and are then analyzed using a normative juridical analysis approach. The object of this research is the payment of book royalties at publishers. The results of this study are that the amount of royalties given to writers ranges from 7% - 15%. Royalties will be paid after the book is published until the contract period expires. The practice of paying book royalties at Magama Publishing is in accordance with the views of the scholars, whether the distribution of royalties is based on an agreement or the distribution of royalties based on capital.\nAbstrak. Royalti adalah imbalan atas pemanfaatan hak ekonomi suatu ciptaan atau produk terkait yang diterima oleh penipta atau pemilik hak terkait. Terdapat perbedaan pendapat tentang pembayaran royalti berdasarkan akad syirkah. Penelitian ini bertujuan untuk mengetahui penerapan pembayaran royalti buku yang ditinjau dari hukum Islam. Metode yang diterapkan yakni kualitatif dan jenis penelitiannya penelitian lapangan dan kepustakaan. Teknik pengumpulan data yang digunakan yaitu wawancara terhadap pengelola penerbit Magama Publishing dan penulis Despersa. Sumber data yang digunakan berasal dari sumber data primer dan sekunder kemudian dianalisis menggunakan pendekatan analisis yuridis normatif. Adapun yang menjadi objek dalam penelitian ini adalah tentang pembayaran royalti buku di penerbit. Hasil penelitian ini yaitu besaran royalti yang diberikan untuk penulis berkisar 7% - 15%. Royalti akan dibayarkan setelah buku diterbitkan hingga masa kontrak habis. Praktik pembayaran royalti buku di Magama Publishing sudah sesuai dengan pandangan para ulama baik pembagian royalti berdasarkan kesepakatan ataupun pembagian royalti berdasarkan modal.","container-title":"Bandung Conference Series: Sharia Economic Law","DOI":"10.29313/bcssel.v3i1.5599","ISSN":"2828-2264","issue":"1","language":"en","license":"Copyright (c) 2023 Bandung Conference Series: Sharia Economic Law","note":"number: 1","page":"161-167","source":"proceedings.unisba.ac.id","title":"Tinjauan Hukum Islam terhadap Penerapan Pembayaran Royalti Buku","volume":"3","author":[{"family":"Izzah","given":"Nurul"},{"family":"Ihwanudin","given":"Nandang"},{"family":"Hidayat","given":"Yayat Rahmat"}],"issued":{"date-parts":[["2023",1,27]]}}}],"schema":"https://github.com/citation-style-language/schema/raw/master/csl-citation.json"} </w:instrText>
      </w:r>
      <w:r w:rsidRPr="003A6BAF">
        <w:rPr>
          <w:rFonts w:asciiTheme="majorBidi" w:hAnsiTheme="majorBidi" w:cstheme="majorBidi"/>
        </w:rPr>
        <w:fldChar w:fldCharType="separate"/>
      </w:r>
      <w:r w:rsidRPr="00392BCF">
        <w:rPr>
          <w:szCs w:val="24"/>
          <w:lang w:val="id-ID"/>
        </w:rPr>
        <w:t xml:space="preserve">Nurul Izzah, Nandang Ihwanudin, and Yayat Rahmat Hidayat, ‘Tinjauan Hukum Islam Terhadap Penerapan Pembayaran Royalti Buku’, </w:t>
      </w:r>
      <w:r w:rsidRPr="00392BCF">
        <w:rPr>
          <w:i/>
          <w:iCs/>
          <w:szCs w:val="24"/>
          <w:lang w:val="id-ID"/>
        </w:rPr>
        <w:t>Bandung Conference Series: Sharia Economic Law</w:t>
      </w:r>
      <w:r w:rsidRPr="00392BCF">
        <w:rPr>
          <w:szCs w:val="24"/>
          <w:lang w:val="id-ID"/>
        </w:rPr>
        <w:t xml:space="preserve"> 3, no. 1 (27 January 2023): 161–67, https://doi.org/10.29313/bcssel.v3i1.5599.</w:t>
      </w:r>
      <w:r w:rsidRPr="003A6BAF">
        <w:rPr>
          <w:rFonts w:asciiTheme="majorBidi" w:hAnsiTheme="majorBidi" w:cstheme="majorBidi"/>
        </w:rPr>
        <w:fldChar w:fldCharType="end"/>
      </w:r>
    </w:p>
  </w:footnote>
  <w:footnote w:id="55">
    <w:p w14:paraId="3992DF7D" w14:textId="3850EFD8" w:rsidR="00392BCF" w:rsidRPr="007E1706"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{"citationID":"AlyUdwom","properties":{"formattedCitation":"Mohd Faizulamri Mohd Saad et al., \\uc0\\u8216{}Criticism towards Quranic Text with Mutawatir Status\\uc0\\u8217{}, {\\i{}International Journal of Academic Research in Business and Social Sciences} 12, no. 7 (15 July 2022): 880\\uc0\\u8211{}88.","plainCitation":"Mohd Faizulamri Mohd Saad et al., ‘Criticism towards Quranic Text with Mutawatir Status’, International Journal of Academic Research in Business and Social Sciences 12, no. 7 (15 July 2022): 880–88.","noteIndex":56},"citationItems":[{"id":"ADEjw652/ogMwEkXV","uris":["http://zotero.org/users/local/jmSsNa9d/items/FLFYLF3P"],"itemData":{"id":3887,"type":"article-journal","abstract":"HRMARS is well established journal publisher based in Pakistan. It is publishing prominent journals in social sciences since 2011.","container-title":"International Journal of Academic Research in Business and Social Sciences","issue":"7","language":"en","page":"880-888","source":"hrmars.com","title":"Criticism towards Quranic Text with Mutawatir Status","volume":"12","author":[{"family":"Saad","given":"Mohd Faizulamri Mohd"},{"family":"Mohamad","given":"Sabri"},{"family":"Mazlan","given":"Nurul Asma"},{"family":"Zainol","given":"Nur Zainatul Nadra"},{"family":"Nur","given":"Afrizal"}],"issued":{"date-parts":[["2022",7,15]]}}}],"schema":"https://github.com/citation-style-language/schema/raw/master/csl-citation.json"} </w:instrText>
      </w:r>
      <w:r>
        <w:fldChar w:fldCharType="separate"/>
      </w:r>
      <w:r w:rsidRPr="00392BCF">
        <w:rPr>
          <w:szCs w:val="24"/>
        </w:rPr>
        <w:t xml:space="preserve">Mohd Faizulamri Mohd Saad et al., ‘Criticism towards Quranic Text with Mutawatir Status’, </w:t>
      </w:r>
      <w:r w:rsidRPr="00392BCF">
        <w:rPr>
          <w:i/>
          <w:iCs/>
          <w:szCs w:val="24"/>
        </w:rPr>
        <w:t>International Journal of Academic Research in Business and Social Sciences</w:t>
      </w:r>
      <w:r w:rsidRPr="00392BCF">
        <w:rPr>
          <w:szCs w:val="24"/>
        </w:rPr>
        <w:t xml:space="preserve"> 12, no. 7 (15 July 2022): 880–88.</w:t>
      </w:r>
      <w:r>
        <w:fldChar w:fldCharType="end"/>
      </w:r>
    </w:p>
  </w:footnote>
  <w:footnote w:id="56">
    <w:p w14:paraId="529495C7" w14:textId="524C42B6" w:rsidR="00392BCF" w:rsidRPr="008F6429"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{"citationID":"XswNPsoW","properties":{"formattedCitation":"Nur Sakiinah Binti Ab Aziz et al., \\uc0\\u8216{}Application of the Requirements in Qiraat Mutawatirah as a Method in Determining the Validity of Data in Islamic-Based Research Methodology\\uc0\\u8217{}, {\\i{}International Journal of Academic Research in Business and Social Sciences} 10, no. 12 (29 November 2020): Pages 59-68, https://doi.org/10.6007/IJARBSS/v10-i12/8216.","plainCitation":"Nur Sakiinah Binti Ab Aziz et al., ‘Application of the Requirements in Qiraat Mutawatirah as a Method in Determining the Validity of Data in Islamic-Based Research Methodology’, International Journal of Academic Research in Business and Social Sciences 10, no. 12 (29 November 2020): Pages 59-68, https://doi.org/10.6007/IJARBSS/v10-i12/8216.","noteIndex":57},"citationItems":[{"id":"ADEjw652/x53kIh8Y","uris":["http://zotero.org/users/local/jmSsNa9d/items/U8NETVDF"],"itemData":{"id":3890,"type":"article-journal","container-title":"International Journal of Academic Research in Business and Social Sciences","DOI":"10.6007/IJARBSS/v10-i12/8216","ISSN":"2222-6990","issue":"12","journalAbbreviation":"IJARBSS","language":"en","page":"Pages 59-68","source":"DOI.org (Crossref)","title":"Application of the Requirements in Qiraat Mutawatirah as a Method in Determining the Validity of Data in Islamic-Based Research Methodology","volume":"10","author":[{"family":"Ab Aziz","given":"Nur Sakiinah Binti"},{"family":"Abdelgelil","given":"Mohamed Fathy Mohamed"},{"family":"Razali","given":"Mohd A'Tarahim Bin Mohd"},{"family":"Thulaia","given":"Hussein Ali Abdullah","non-dropping-particle":"al-"},{"family":"Kamaruddin","given":"Kasimah"}],"issued":{"date-parts":[["2020",11,29]]}}}],"schema":"https://github.com/citation-style-language/schema/raw/master/csl-citation.json"} </w:instrText>
      </w:r>
      <w:r>
        <w:fldChar w:fldCharType="separate"/>
      </w:r>
      <w:r w:rsidRPr="00392BCF">
        <w:rPr>
          <w:szCs w:val="24"/>
        </w:rPr>
        <w:t xml:space="preserve">Nur Sakiinah Binti Ab Aziz et al., ‘Application of the Requirements in Qiraat Mutawatirah as a Method in Determining the Validity of Data in Islamic-Based Research Methodology’, </w:t>
      </w:r>
      <w:r w:rsidRPr="00392BCF">
        <w:rPr>
          <w:i/>
          <w:iCs/>
          <w:szCs w:val="24"/>
        </w:rPr>
        <w:t>International Journal of Academic Research in Business and Social Sciences</w:t>
      </w:r>
      <w:r w:rsidRPr="00392BCF">
        <w:rPr>
          <w:szCs w:val="24"/>
        </w:rPr>
        <w:t xml:space="preserve"> 10, no. 12 (29 November 2020): Pages 59-68, https://doi.org/10.6007/IJARBSS/v10-i12/8216.</w:t>
      </w:r>
      <w:r>
        <w:fldChar w:fldCharType="end"/>
      </w:r>
    </w:p>
  </w:footnote>
  <w:footnote w:id="57">
    <w:p w14:paraId="2942C531" w14:textId="7A9FBE1B" w:rsidR="00392BCF" w:rsidRPr="008F6429"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{"citationID":"KQX8AS8j","properties":{"formattedCitation":"Julhaidir Purba and Dhiauddin Tanjung, \\uc0\\u8216{}Kebutuhan Multi Akad Dalam Transaksi Ekonomi Muamalah; Analisis Maqashid Syariah\\uc0\\u8217{}, {\\i{}Al-\\uc0\\u8217{}`Adalah\\uc0\\u8239{}: Jurnal Syariah Dan Hukum Islam} 8, no. 1 (28 June 2023): 65\\uc0\\u8211{}82, https://doi.org/10.31538/adlh.v8i1.3315.","plainCitation":"Julhaidir Purba and Dhiauddin Tanjung, ‘Kebutuhan Multi Akad Dalam Transaksi Ekonomi Muamalah; Analisis Maqashid Syariah’, Al-’`Adalah : Jurnal Syariah Dan Hukum Islam 8, no. 1 (28 June 2023): 65–82, https://doi.org/10.31538/adlh.v8i1.3315.","noteIndex":58},"citationItems":[{"id":"ADEjw652/ESCDRYuX","uris":["http://zotero.org/users/local/jmSsNa9d/items/CRKN99VW"],"itemData":{"id":3895,"type":"article-journal","abstract":"This research was motivated by differences of opinion among the fuqaha' about the multi-contract law. Meanwhile, the need for multi-contract in muamalah economic transactions can increase production. The study aims to determine the level of need for multi-contract in muamalah economic transactions. This research is a qualitative research, revealing meanings related to differences in fukaha views on the implementation of multi-contracts.  This research is also a type of literature research with primary data in the form of data taken from several literature views of fuqaha related to multi-contract from various references such as books, journals, and secondary data from other related documents. Data collection through documentation methods from both primary and secondary data sources. This study uses the maqashid syariah approach to explore the level of multi-contract needs in muamalah economic transactions. The results of this study show that the need for multi-contract can reach the level of Hajjyah, and arrive at the orientation of maqashid which aims to maintain religion. This multi-contract is an effort to maximize profits in business and also to get rights for everyone who transacts. In addition, if it is not done, there will be many people who transact with principles that are not sharia.","container-title":"Al-'`Adalah : Jurnal Syariah dan Hukum Islam","DOI":"10.31538/adlh.v8i1.3315","ISSN":"2503-1473","issue":"1","language":"en","license":"Copyright (c) 2023 Julhaidir Purba, Dhiauddin Tanjung","note":"number: 1","page":"65-82","source":"e-journal.uac.ac.id","title":"Kebutuhan Multi Akad dalam Transaksi Ekonomi Muamalah; Analisis Maqashid Syariah","volume":"8","author":[{"family":"Purba","given":"Julhaidir"},{"family":"Tanjung","given":"Dhiauddin"}],"issued":{"date-parts":[["2023",6,28]]}}}],"schema":"https://github.com/citation-style-language/schema/raw/master/csl-citation.json"} </w:instrText>
      </w:r>
      <w:r>
        <w:fldChar w:fldCharType="separate"/>
      </w:r>
      <w:r w:rsidRPr="00392BCF">
        <w:rPr>
          <w:szCs w:val="24"/>
        </w:rPr>
        <w:t xml:space="preserve">Julhaidir Purba and Dhiauddin Tanjung, ‘Kebutuhan Multi Akad Dalam Transaksi Ekonomi Muamalah; Analisis Maqashid Syariah’, </w:t>
      </w:r>
      <w:r w:rsidRPr="00392BCF">
        <w:rPr>
          <w:i/>
          <w:iCs/>
          <w:szCs w:val="24"/>
        </w:rPr>
        <w:t>Al-’`Adalah : Jurnal Syariah Dan Hukum Islam</w:t>
      </w:r>
      <w:r w:rsidRPr="00392BCF">
        <w:rPr>
          <w:szCs w:val="24"/>
        </w:rPr>
        <w:t xml:space="preserve"> 8, no. 1 (28 June 2023): 65–82, https://doi.org/10.31538/adlh.v8i1.3315.</w:t>
      </w:r>
      <w:r>
        <w:fldChar w:fldCharType="end"/>
      </w:r>
    </w:p>
  </w:footnote>
  <w:footnote w:id="58">
    <w:p w14:paraId="0193B0BC" w14:textId="2B77031C" w:rsidR="00392BCF" w:rsidRPr="008F6429"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{"citationID":"EPZpP4TW","properties":{"formattedCitation":"Hamzah Rojulul Ghodi Assyarif Sumanto, Andri Nirwana An, and Muchammad Ichsan, \\uc0\\u8216{}Does the MUI Fatwa on Multi Contracts Causes Gharar?\\uc0\\u8217{}, {\\i{}Tazkia Islamic Finance and Business Review} 16, no. 2 (2022), https://doi.org/10.30993/tifbr.v16i2.294.","plainCitation":"Hamzah Rojulul Ghodi Assyarif Sumanto, Andri Nirwana An, and Muchammad Ichsan, ‘Does the MUI Fatwa on Multi Contracts Causes Gharar?’, Tazkia Islamic Finance and Business Review 16, no. 2 (2022), https://doi.org/10.30993/tifbr.v16i2.294.","noteIndex":59},"citationItems":[{"id":"ADEjw652/KHjTJYdQ","uris":["http://zotero.org/users/local/jmSsNa9d/items/GV9DCPBZ"],"itemData":{"id":3897,"type":"article-journal","abstract":"Law in Islamic syariat is focused on the realization of muamalah for humans, so that things that are opposite and contrary to benefit are definitely annulled in Islamic law, among things that are prohibited because they are contrary to benefit are muamalah behaviors that contain gharar, among transaction behaviors that are containing gharar is multi-contract multi-contract that has different laws and consequences that arise in one contract and time, this is due to uncertainty about the contract that occurs, between buying and selling or leasing contracts, in this case, and the MUI issues a fatwa regarding the rules multi-contract contracts which are justified by Islamic law, contained in fatwa no. 27 of 2002 concerning buying and selling leases, this research will examine the fatwa, whether the fatwa has the opportunity to cause gharar or not? , the method used in this research is a qualitative method by analyzing the content of the fatwa even though testing it with gharar theory which leads to the conclusion that the fatwa dsnmui no.27 of 2002 has no chance of causing gharar.\nKeywords: Fatwa , Hybrid contract, Gharar, Muamalah","container-title":"Tazkia Islamic Finance and Business Review","DOI":"10.30993/tifbr.v16i2.294","ISSN":"2460-0717","issue":"2","language":"en","source":"tifbr-tazkia.org","title":"Does the MUI fatwa on Multi Contracts Causes Gharar?","URL":"https://tifbr-tazkia.org/index.php/TIFBR/article/view/294","volume":"16","author":[{"family":"Sumanto","given":"Hamzah Rojulul Ghodi Assyarif"},{"family":"An","given":"Andri Nirwana"},{"family":"Ichsan","given":"Muchammad"}],"accessed":{"date-parts":[["2024",9,16]]},"issued":{"date-parts":[["2022"]]}}}],"schema":"https://github.com/citation-style-language/schema/raw/master/csl-citation.json"} </w:instrText>
      </w:r>
      <w:r>
        <w:fldChar w:fldCharType="separate"/>
      </w:r>
      <w:r w:rsidRPr="00392BCF">
        <w:rPr>
          <w:szCs w:val="24"/>
        </w:rPr>
        <w:t xml:space="preserve">Hamzah Rojulul Ghodi Assyarif Sumanto, Andri Nirwana An, and Muchammad Ichsan, ‘Does the MUI Fatwa on Multi Contracts Causes Gharar?’, </w:t>
      </w:r>
      <w:r w:rsidRPr="00392BCF">
        <w:rPr>
          <w:i/>
          <w:iCs/>
          <w:szCs w:val="24"/>
        </w:rPr>
        <w:t>Tazkia Islamic Finance and Business Review</w:t>
      </w:r>
      <w:r w:rsidRPr="00392BCF">
        <w:rPr>
          <w:szCs w:val="24"/>
        </w:rPr>
        <w:t xml:space="preserve"> 16, no. 2 (2022), https://doi.org/10.30993/tifbr.v16i2.294.</w:t>
      </w:r>
      <w:r>
        <w:fldChar w:fldCharType="end"/>
      </w:r>
    </w:p>
  </w:footnote>
  <w:footnote w:id="59">
    <w:p w14:paraId="19EFDE29" w14:textId="04E5CBEC" w:rsidR="00392BCF" w:rsidRPr="008F6429" w:rsidRDefault="00392BCF" w:rsidP="00773BDE">
      <w:pPr>
        <w:pStyle w:val="FootnoteText"/>
        <w:ind w:firstLine="709"/>
        <w:jc w:val="lowKashida"/>
        <w:rPr>
          <w:lang w:val="id-ID"/>
        </w:rPr>
      </w:pPr>
      <w:r>
        <w:rPr>
          <w:rStyle w:val="FootnoteReference"/>
        </w:rPr>
        <w:footnoteRef/>
      </w:r>
      <w:r>
        <w:t xml:space="preserve"> </w:t>
      </w:r>
      <w:r>
        <w:fldChar w:fldCharType="begin"/>
      </w:r>
      <w:r w:rsidR="00D44C6C">
        <w:instrText xml:space="preserve"> ADDIN ZOTERO_ITEM CSL_CITATION {"citationID":"P0wl4Gsw","properties":{"formattedCitation":"Sumanto, An, and Ichsan.","plainCitation":"Sumanto, An, and Ichsan.","noteIndex":60},"citationItems":[{"id":"ADEjw652/KHjTJYdQ","uris":["http://zotero.org/users/local/jmSsNa9d/items/GV9DCPBZ"],"itemData":{"id":3897,"type":"article-journal","abstract":"Law in Islamic syariat is focused on the realization of muamalah for humans, so that things that are opposite and contrary to benefit are definitely annulled in Islamic law, among things that are prohibited because they are contrary to benefit are muamalah behaviors that contain gharar, among transaction behaviors that are containing gharar is multi-contract multi-contract that has different laws and consequences that arise in one contract and time, this is due to uncertainty about the contract that occurs, between buying and selling or leasing contracts, in this case, and the MUI issues a fatwa regarding the rules multi-contract contracts which are justified by Islamic law, contained in fatwa no. 27 of 2002 concerning buying and selling leases, this research will examine the fatwa, whether the fatwa has the opportunity to cause gharar or not? , the method used in this research is a qualitative method by analyzing the content of the fatwa even though testing it with gharar theory which leads to the conclusion that the fatwa dsnmui no.27 of 2002 has no chance of causing gharar.\nKeywords: Fatwa , Hybrid contract, Gharar, Muamalah","container-title":"Tazkia Islamic Finance and Business Review","DOI":"10.30993/tifbr.v16i2.294","ISSN":"2460-0717","issue":"2","language":"en","source":"tifbr-tazkia.org","title":"Does the MUI fatwa on Multi Contracts Causes Gharar?","URL":"https://tifbr-tazkia.org/index.php/TIFBR/article/view/294","volume":"16","author":[{"family":"Sumanto","given":"Hamzah Rojulul Ghodi Assyarif"},{"family":"An","given":"Andri Nirwana"},{"family":"Ichsan","given":"Muchammad"}],"accessed":{"date-parts":[["2024",9,16]]},"issued":{"date-parts":[["2022"]]}}}],"schema":"https://github.com/citation-style-language/schema/raw/master/csl-citation.json"} </w:instrText>
      </w:r>
      <w:r>
        <w:fldChar w:fldCharType="separate"/>
      </w:r>
      <w:r w:rsidRPr="00392BCF">
        <w:t xml:space="preserve">Sumanto, </w:t>
      </w:r>
      <w:proofErr w:type="gramStart"/>
      <w:r w:rsidRPr="00392BCF">
        <w:t>An</w:t>
      </w:r>
      <w:proofErr w:type="gramEnd"/>
      <w:r w:rsidRPr="00392BCF">
        <w:t>, and Ichsan.</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80F0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97D10"/>
    <w:multiLevelType w:val="hybridMultilevel"/>
    <w:tmpl w:val="22765FFC"/>
    <w:lvl w:ilvl="0" w:tplc="E376B1CA">
      <w:start w:val="1"/>
      <w:numFmt w:val="lowerLetter"/>
      <w:lvlText w:val="%1."/>
      <w:lvlJc w:val="left"/>
      <w:pPr>
        <w:tabs>
          <w:tab w:val="num" w:pos="720"/>
        </w:tabs>
        <w:ind w:left="720" w:hanging="360"/>
      </w:pPr>
      <w:rPr>
        <w:rFonts w:ascii="Times New Arabic" w:eastAsiaTheme="minorHAnsi" w:hAnsi="Times New Arabic" w:cstheme="minorBid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7CA7E73"/>
    <w:multiLevelType w:val="hybridMultilevel"/>
    <w:tmpl w:val="FA621114"/>
    <w:lvl w:ilvl="0" w:tplc="EC6ED170">
      <w:start w:val="1"/>
      <w:numFmt w:val="upperLetter"/>
      <w:lvlText w:val="%1."/>
      <w:lvlJc w:val="left"/>
      <w:pPr>
        <w:tabs>
          <w:tab w:val="num" w:pos="720"/>
        </w:tabs>
        <w:ind w:left="720" w:hanging="360"/>
      </w:pPr>
      <w:rPr>
        <w:rFonts w:hint="default"/>
      </w:rPr>
    </w:lvl>
    <w:lvl w:ilvl="1" w:tplc="FA041E3A">
      <w:start w:val="1"/>
      <w:numFmt w:val="decimal"/>
      <w:lvlText w:val="%2."/>
      <w:lvlJc w:val="left"/>
      <w:pPr>
        <w:tabs>
          <w:tab w:val="num" w:pos="1440"/>
        </w:tabs>
        <w:ind w:left="1440" w:hanging="360"/>
      </w:pPr>
      <w:rPr>
        <w:rFonts w:hint="default"/>
      </w:rPr>
    </w:lvl>
    <w:lvl w:ilvl="2" w:tplc="8C7020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46C56"/>
    <w:multiLevelType w:val="hybridMultilevel"/>
    <w:tmpl w:val="7D56CFF0"/>
    <w:lvl w:ilvl="0" w:tplc="D708EC0A">
      <w:start w:val="1"/>
      <w:numFmt w:val="upp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 w15:restartNumberingAfterBreak="0">
    <w:nsid w:val="1185415A"/>
    <w:multiLevelType w:val="hybridMultilevel"/>
    <w:tmpl w:val="C10EBF64"/>
    <w:lvl w:ilvl="0" w:tplc="2A2EB420">
      <w:start w:val="1"/>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15:restartNumberingAfterBreak="0">
    <w:nsid w:val="12A46169"/>
    <w:multiLevelType w:val="hybridMultilevel"/>
    <w:tmpl w:val="8B0845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6721FC"/>
    <w:multiLevelType w:val="hybridMultilevel"/>
    <w:tmpl w:val="F7180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D93AFC"/>
    <w:multiLevelType w:val="hybridMultilevel"/>
    <w:tmpl w:val="715A1F72"/>
    <w:lvl w:ilvl="0" w:tplc="5EAEBEB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 w15:restartNumberingAfterBreak="0">
    <w:nsid w:val="231A576A"/>
    <w:multiLevelType w:val="hybridMultilevel"/>
    <w:tmpl w:val="8FE00614"/>
    <w:lvl w:ilvl="0" w:tplc="1F52F49A">
      <w:start w:val="1"/>
      <w:numFmt w:val="upperLetter"/>
      <w:lvlText w:val="%1."/>
      <w:lvlJc w:val="left"/>
      <w:pPr>
        <w:tabs>
          <w:tab w:val="num" w:pos="1620"/>
        </w:tabs>
        <w:ind w:left="1620" w:hanging="360"/>
      </w:pPr>
      <w:rPr>
        <w:rFonts w:ascii="Times New Roman" w:hAnsi="Times New Roman" w:cs="Times New Roman" w:hint="default"/>
      </w:rPr>
    </w:lvl>
    <w:lvl w:ilvl="1" w:tplc="F238D890">
      <w:start w:val="1"/>
      <w:numFmt w:val="upp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660401BC">
      <w:start w:val="1"/>
      <w:numFmt w:val="lowerLetter"/>
      <w:lvlText w:val="%5."/>
      <w:lvlJc w:val="left"/>
      <w:pPr>
        <w:tabs>
          <w:tab w:val="num" w:pos="3600"/>
        </w:tabs>
        <w:ind w:left="3600" w:hanging="360"/>
      </w:pPr>
      <w:rPr>
        <w:rFonts w:ascii="Times New Roman" w:hAnsi="Times New Roman" w:cs="Times New Roman"/>
        <w:i w:val="0"/>
        <w:iCs w:val="0"/>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3EF367D"/>
    <w:multiLevelType w:val="hybridMultilevel"/>
    <w:tmpl w:val="3FB694BE"/>
    <w:lvl w:ilvl="0" w:tplc="1224345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5AA3521"/>
    <w:multiLevelType w:val="hybridMultilevel"/>
    <w:tmpl w:val="9DF8A59E"/>
    <w:lvl w:ilvl="0" w:tplc="226A86B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69718F7"/>
    <w:multiLevelType w:val="multilevel"/>
    <w:tmpl w:val="D31C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B20FC"/>
    <w:multiLevelType w:val="hybridMultilevel"/>
    <w:tmpl w:val="F014BD16"/>
    <w:lvl w:ilvl="0" w:tplc="D4708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005832"/>
    <w:multiLevelType w:val="hybridMultilevel"/>
    <w:tmpl w:val="8F4CF4EE"/>
    <w:lvl w:ilvl="0" w:tplc="E1120032">
      <w:start w:val="1"/>
      <w:numFmt w:val="upperRoman"/>
      <w:lvlText w:val="%1."/>
      <w:lvlJc w:val="left"/>
      <w:pPr>
        <w:tabs>
          <w:tab w:val="num" w:pos="1080"/>
        </w:tabs>
        <w:ind w:left="1080" w:hanging="720"/>
      </w:pPr>
      <w:rPr>
        <w:rFonts w:cs="Times New Roman" w:hint="default"/>
      </w:rPr>
    </w:lvl>
    <w:lvl w:ilvl="1" w:tplc="F430678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A35451"/>
    <w:multiLevelType w:val="hybridMultilevel"/>
    <w:tmpl w:val="7922ACDC"/>
    <w:lvl w:ilvl="0" w:tplc="0409000F">
      <w:start w:val="1"/>
      <w:numFmt w:val="decimal"/>
      <w:lvlText w:val="%1."/>
      <w:lvlJc w:val="left"/>
      <w:pPr>
        <w:tabs>
          <w:tab w:val="num" w:pos="720"/>
        </w:tabs>
        <w:ind w:left="720" w:hanging="360"/>
      </w:pPr>
      <w:rPr>
        <w:rFonts w:cs="Times New Roman" w:hint="default"/>
      </w:rPr>
    </w:lvl>
    <w:lvl w:ilvl="1" w:tplc="27FC36CC">
      <w:start w:val="1"/>
      <w:numFmt w:val="lowerLetter"/>
      <w:lvlText w:val="%2."/>
      <w:lvlJc w:val="left"/>
      <w:pPr>
        <w:tabs>
          <w:tab w:val="num" w:pos="1440"/>
        </w:tabs>
        <w:ind w:left="1440" w:hanging="360"/>
      </w:pPr>
      <w:rPr>
        <w:rFonts w:cs="Times New Roman" w:hint="default"/>
      </w:rPr>
    </w:lvl>
    <w:lvl w:ilvl="2" w:tplc="2A0A3944">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779F5"/>
    <w:multiLevelType w:val="hybridMultilevel"/>
    <w:tmpl w:val="B120B760"/>
    <w:lvl w:ilvl="0" w:tplc="880CCDC4">
      <w:start w:val="4"/>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5476E"/>
    <w:multiLevelType w:val="hybridMultilevel"/>
    <w:tmpl w:val="D332AE10"/>
    <w:lvl w:ilvl="0" w:tplc="1194C720">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25C0D33"/>
    <w:multiLevelType w:val="hybridMultilevel"/>
    <w:tmpl w:val="ACCC887C"/>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04B2D"/>
    <w:multiLevelType w:val="hybridMultilevel"/>
    <w:tmpl w:val="41C21F36"/>
    <w:lvl w:ilvl="0" w:tplc="8A8EE7DC">
      <w:start w:val="1"/>
      <w:numFmt w:val="lowerLetter"/>
      <w:lvlText w:val="%1."/>
      <w:lvlJc w:val="left"/>
      <w:pPr>
        <w:tabs>
          <w:tab w:val="num" w:pos="720"/>
        </w:tabs>
        <w:ind w:left="720" w:hanging="360"/>
      </w:pPr>
      <w:rPr>
        <w:rFonts w:ascii="Times New Roman" w:eastAsia="Times New Roman" w:hAnsi="Times New Roman" w:cs="Times New Roman"/>
      </w:rPr>
    </w:lvl>
    <w:lvl w:ilvl="1" w:tplc="046E4454">
      <w:start w:val="1"/>
      <w:numFmt w:val="decimal"/>
      <w:lvlText w:val="%2."/>
      <w:lvlJc w:val="left"/>
      <w:pPr>
        <w:tabs>
          <w:tab w:val="num" w:pos="1440"/>
        </w:tabs>
        <w:ind w:left="1440" w:hanging="360"/>
      </w:pPr>
      <w:rPr>
        <w:rFonts w:cs="Times New Roman" w:hint="default"/>
      </w:rPr>
    </w:lvl>
    <w:lvl w:ilvl="2" w:tplc="DAB4BA2C">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5452FCA"/>
    <w:multiLevelType w:val="hybridMultilevel"/>
    <w:tmpl w:val="92A8C9AA"/>
    <w:lvl w:ilvl="0" w:tplc="1DA4915E">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DD3D66"/>
    <w:multiLevelType w:val="hybridMultilevel"/>
    <w:tmpl w:val="7FA6A670"/>
    <w:lvl w:ilvl="0" w:tplc="A6467A76">
      <w:start w:val="1"/>
      <w:numFmt w:val="upp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1" w15:restartNumberingAfterBreak="0">
    <w:nsid w:val="4743274E"/>
    <w:multiLevelType w:val="hybridMultilevel"/>
    <w:tmpl w:val="B81A755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4D0A4A8C"/>
    <w:multiLevelType w:val="hybridMultilevel"/>
    <w:tmpl w:val="0394B220"/>
    <w:lvl w:ilvl="0" w:tplc="20B2C086">
      <w:start w:val="1"/>
      <w:numFmt w:val="lowerLetter"/>
      <w:lvlText w:val="%1."/>
      <w:lvlJc w:val="left"/>
      <w:pPr>
        <w:tabs>
          <w:tab w:val="num" w:pos="900"/>
        </w:tabs>
        <w:ind w:left="900" w:hanging="360"/>
      </w:pPr>
      <w:rPr>
        <w:rFonts w:cs="Times New Roman" w:hint="default"/>
      </w:rPr>
    </w:lvl>
    <w:lvl w:ilvl="1" w:tplc="23FC028E">
      <w:start w:val="1"/>
      <w:numFmt w:val="lowerLetter"/>
      <w:lvlText w:val="%2."/>
      <w:lvlJc w:val="left"/>
      <w:pPr>
        <w:tabs>
          <w:tab w:val="num" w:pos="360"/>
        </w:tabs>
        <w:ind w:left="360" w:hanging="360"/>
      </w:pPr>
      <w:rPr>
        <w:rFonts w:ascii="Times New Roman" w:eastAsia="SimSun" w:hAnsi="Times New Roman" w:cs="Times New Roman"/>
        <w:sz w:val="24"/>
        <w:szCs w:val="24"/>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3" w15:restartNumberingAfterBreak="0">
    <w:nsid w:val="4F7F0D53"/>
    <w:multiLevelType w:val="hybridMultilevel"/>
    <w:tmpl w:val="2E865090"/>
    <w:lvl w:ilvl="0" w:tplc="EC6ED170">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1765820"/>
    <w:multiLevelType w:val="hybridMultilevel"/>
    <w:tmpl w:val="43941BC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44343F9"/>
    <w:multiLevelType w:val="hybridMultilevel"/>
    <w:tmpl w:val="DEFAADF4"/>
    <w:lvl w:ilvl="0" w:tplc="092EA836">
      <w:start w:val="3"/>
      <w:numFmt w:val="upperLetter"/>
      <w:lvlText w:val="%1."/>
      <w:lvlJc w:val="left"/>
      <w:pPr>
        <w:tabs>
          <w:tab w:val="num" w:pos="900"/>
        </w:tabs>
        <w:ind w:left="900" w:hanging="360"/>
      </w:pPr>
      <w:rPr>
        <w:rFonts w:cs="Times New Roman" w:hint="default"/>
        <w:b/>
        <w:bCs/>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6" w15:restartNumberingAfterBreak="0">
    <w:nsid w:val="546D23D3"/>
    <w:multiLevelType w:val="hybridMultilevel"/>
    <w:tmpl w:val="6C6CE260"/>
    <w:lvl w:ilvl="0" w:tplc="0FDA6684">
      <w:start w:val="1"/>
      <w:numFmt w:val="lowerLetter"/>
      <w:lvlText w:val="%1."/>
      <w:lvlJc w:val="left"/>
      <w:pPr>
        <w:tabs>
          <w:tab w:val="num" w:pos="720"/>
        </w:tabs>
        <w:ind w:left="720" w:hanging="360"/>
      </w:pPr>
      <w:rPr>
        <w:rFonts w:ascii="Times New Arabic" w:eastAsiaTheme="minorHAnsi" w:hAnsi="Times New Arabic" w:cstheme="minorBid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50265A2"/>
    <w:multiLevelType w:val="hybridMultilevel"/>
    <w:tmpl w:val="0706B522"/>
    <w:lvl w:ilvl="0" w:tplc="52482400">
      <w:start w:val="1"/>
      <w:numFmt w:val="lowerLetter"/>
      <w:lvlText w:val="%1."/>
      <w:lvlJc w:val="left"/>
      <w:pPr>
        <w:tabs>
          <w:tab w:val="num" w:pos="720"/>
        </w:tabs>
        <w:ind w:left="720" w:hanging="360"/>
      </w:pPr>
      <w:rPr>
        <w:rFonts w:ascii="Times New Arabic" w:eastAsiaTheme="minorHAnsi" w:hAnsi="Times New Arabic" w:cstheme="minorBid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6084600"/>
    <w:multiLevelType w:val="hybridMultilevel"/>
    <w:tmpl w:val="9454EB70"/>
    <w:lvl w:ilvl="0" w:tplc="BEE608A4">
      <w:start w:val="1"/>
      <w:numFmt w:val="upperLetter"/>
      <w:lvlText w:val="%1."/>
      <w:lvlJc w:val="left"/>
      <w:pPr>
        <w:tabs>
          <w:tab w:val="num" w:pos="360"/>
        </w:tabs>
        <w:ind w:left="360" w:hanging="360"/>
      </w:pPr>
      <w:rPr>
        <w:rFonts w:ascii="Times New Roman" w:eastAsia="SimSun" w:hAnsi="Times New Roman" w:cs="Times New Roman"/>
      </w:rPr>
    </w:lvl>
    <w:lvl w:ilvl="1" w:tplc="9990945A">
      <w:start w:val="1"/>
      <w:numFmt w:val="decimal"/>
      <w:lvlText w:val="%2."/>
      <w:lvlJc w:val="left"/>
      <w:pPr>
        <w:tabs>
          <w:tab w:val="num" w:pos="1080"/>
        </w:tabs>
        <w:ind w:left="1080" w:hanging="360"/>
      </w:pPr>
      <w:rPr>
        <w:rFonts w:ascii="Times New Roman" w:eastAsia="SimSun" w:hAnsi="Times New Roman" w:cs="Times New Roman"/>
      </w:rPr>
    </w:lvl>
    <w:lvl w:ilvl="2" w:tplc="6B2C0AD8">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hint="default"/>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5D217B5D"/>
    <w:multiLevelType w:val="hybridMultilevel"/>
    <w:tmpl w:val="20A84BCA"/>
    <w:lvl w:ilvl="0" w:tplc="04090017">
      <w:start w:val="1"/>
      <w:numFmt w:val="lowerLetter"/>
      <w:lvlText w:val="%1)"/>
      <w:lvlJc w:val="left"/>
      <w:pPr>
        <w:tabs>
          <w:tab w:val="num" w:pos="1800"/>
        </w:tabs>
        <w:ind w:left="1800" w:hanging="360"/>
      </w:pPr>
      <w:rPr>
        <w:rFonts w:cs="Times New Roman" w:hint="default"/>
      </w:rPr>
    </w:lvl>
    <w:lvl w:ilvl="1" w:tplc="02724AF0">
      <w:start w:val="4"/>
      <w:numFmt w:val="decimal"/>
      <w:lvlText w:val="%2."/>
      <w:lvlJc w:val="left"/>
      <w:pPr>
        <w:tabs>
          <w:tab w:val="num" w:pos="2520"/>
        </w:tabs>
        <w:ind w:left="2520" w:hanging="360"/>
      </w:pPr>
      <w:rPr>
        <w:rFonts w:cs="Times New Roman" w:hint="default"/>
      </w:rPr>
    </w:lvl>
    <w:lvl w:ilvl="2" w:tplc="7B1C4CCC">
      <w:start w:val="1"/>
      <w:numFmt w:val="lowerLetter"/>
      <w:lvlText w:val="%3."/>
      <w:lvlJc w:val="left"/>
      <w:pPr>
        <w:tabs>
          <w:tab w:val="num" w:pos="3420"/>
        </w:tabs>
        <w:ind w:left="3420" w:hanging="360"/>
      </w:pPr>
      <w:rPr>
        <w:rFonts w:cs="Times New Roman" w:hint="default"/>
      </w:rPr>
    </w:lvl>
    <w:lvl w:ilvl="3" w:tplc="00262E0A">
      <w:start w:val="2"/>
      <w:numFmt w:val="decimal"/>
      <w:lvlText w:val="%4)"/>
      <w:lvlJc w:val="left"/>
      <w:pPr>
        <w:tabs>
          <w:tab w:val="num" w:pos="3960"/>
        </w:tabs>
        <w:ind w:left="3960" w:hanging="360"/>
      </w:pPr>
      <w:rPr>
        <w:rFonts w:cs="Times New Roman" w:hint="default"/>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0" w15:restartNumberingAfterBreak="0">
    <w:nsid w:val="5DD32A86"/>
    <w:multiLevelType w:val="hybridMultilevel"/>
    <w:tmpl w:val="3668960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15:restartNumberingAfterBreak="0">
    <w:nsid w:val="61636D10"/>
    <w:multiLevelType w:val="hybridMultilevel"/>
    <w:tmpl w:val="C0F85F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00D6F"/>
    <w:multiLevelType w:val="hybridMultilevel"/>
    <w:tmpl w:val="9F180B28"/>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B4A532D"/>
    <w:multiLevelType w:val="hybridMultilevel"/>
    <w:tmpl w:val="B6BCE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A970DC"/>
    <w:multiLevelType w:val="hybridMultilevel"/>
    <w:tmpl w:val="82ACA47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6E034B3F"/>
    <w:multiLevelType w:val="multilevel"/>
    <w:tmpl w:val="D820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513813"/>
    <w:multiLevelType w:val="hybridMultilevel"/>
    <w:tmpl w:val="BECE88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705415B4"/>
    <w:multiLevelType w:val="hybridMultilevel"/>
    <w:tmpl w:val="86063B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664893"/>
    <w:multiLevelType w:val="hybridMultilevel"/>
    <w:tmpl w:val="D11CB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FE1175"/>
    <w:multiLevelType w:val="hybridMultilevel"/>
    <w:tmpl w:val="A75639A6"/>
    <w:lvl w:ilvl="0" w:tplc="5254DD2E">
      <w:start w:val="1"/>
      <w:numFmt w:val="decimal"/>
      <w:lvlText w:val="%1."/>
      <w:lvlJc w:val="left"/>
      <w:pPr>
        <w:tabs>
          <w:tab w:val="num" w:pos="1695"/>
        </w:tabs>
        <w:ind w:left="1695" w:hanging="97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15:restartNumberingAfterBreak="0">
    <w:nsid w:val="750873CF"/>
    <w:multiLevelType w:val="hybridMultilevel"/>
    <w:tmpl w:val="4E6E50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C27B5A"/>
    <w:multiLevelType w:val="hybridMultilevel"/>
    <w:tmpl w:val="23FE0F70"/>
    <w:lvl w:ilvl="0" w:tplc="914EC02A">
      <w:start w:val="1"/>
      <w:numFmt w:val="upperLetter"/>
      <w:lvlText w:val="%1."/>
      <w:lvlJc w:val="left"/>
      <w:pPr>
        <w:tabs>
          <w:tab w:val="num" w:pos="900"/>
        </w:tabs>
        <w:ind w:left="900" w:hanging="360"/>
      </w:pPr>
      <w:rPr>
        <w:rFonts w:cs="Times New Roman" w:hint="default"/>
      </w:rPr>
    </w:lvl>
    <w:lvl w:ilvl="1" w:tplc="8FEE418A">
      <w:start w:val="1"/>
      <w:numFmt w:val="decimal"/>
      <w:lvlText w:val="%2."/>
      <w:lvlJc w:val="left"/>
      <w:pPr>
        <w:tabs>
          <w:tab w:val="num" w:pos="900"/>
        </w:tabs>
        <w:ind w:left="900" w:hanging="360"/>
      </w:pPr>
      <w:rPr>
        <w:rFonts w:ascii="Times New Roman" w:eastAsia="Times New Roman" w:hAnsi="Times New Roman" w:cs="Times New Roman"/>
      </w:rPr>
    </w:lvl>
    <w:lvl w:ilvl="2" w:tplc="9844D876">
      <w:start w:val="1"/>
      <w:numFmt w:val="lowerLetter"/>
      <w:lvlText w:val="%3."/>
      <w:lvlJc w:val="right"/>
      <w:pPr>
        <w:tabs>
          <w:tab w:val="num" w:pos="360"/>
        </w:tabs>
        <w:ind w:left="360" w:hanging="18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3"/>
  </w:num>
  <w:num w:numId="2">
    <w:abstractNumId w:val="8"/>
  </w:num>
  <w:num w:numId="3">
    <w:abstractNumId w:val="20"/>
  </w:num>
  <w:num w:numId="4">
    <w:abstractNumId w:val="3"/>
  </w:num>
  <w:num w:numId="5">
    <w:abstractNumId w:val="4"/>
  </w:num>
  <w:num w:numId="6">
    <w:abstractNumId w:val="39"/>
  </w:num>
  <w:num w:numId="7">
    <w:abstractNumId w:val="41"/>
  </w:num>
  <w:num w:numId="8">
    <w:abstractNumId w:val="26"/>
  </w:num>
  <w:num w:numId="9">
    <w:abstractNumId w:val="29"/>
  </w:num>
  <w:num w:numId="10">
    <w:abstractNumId w:val="18"/>
  </w:num>
  <w:num w:numId="11">
    <w:abstractNumId w:val="27"/>
  </w:num>
  <w:num w:numId="12">
    <w:abstractNumId w:val="1"/>
  </w:num>
  <w:num w:numId="13">
    <w:abstractNumId w:val="25"/>
  </w:num>
  <w:num w:numId="14">
    <w:abstractNumId w:val="10"/>
  </w:num>
  <w:num w:numId="15">
    <w:abstractNumId w:val="14"/>
  </w:num>
  <w:num w:numId="16">
    <w:abstractNumId w:val="32"/>
  </w:num>
  <w:num w:numId="17">
    <w:abstractNumId w:val="16"/>
  </w:num>
  <w:num w:numId="18">
    <w:abstractNumId w:val="21"/>
  </w:num>
  <w:num w:numId="19">
    <w:abstractNumId w:val="7"/>
  </w:num>
  <w:num w:numId="20">
    <w:abstractNumId w:val="37"/>
  </w:num>
  <w:num w:numId="21">
    <w:abstractNumId w:val="30"/>
  </w:num>
  <w:num w:numId="22">
    <w:abstractNumId w:val="28"/>
  </w:num>
  <w:num w:numId="23">
    <w:abstractNumId w:val="22"/>
  </w:num>
  <w:num w:numId="24">
    <w:abstractNumId w:val="34"/>
  </w:num>
  <w:num w:numId="25">
    <w:abstractNumId w:val="24"/>
  </w:num>
  <w:num w:numId="26">
    <w:abstractNumId w:val="23"/>
  </w:num>
  <w:num w:numId="27">
    <w:abstractNumId w:val="36"/>
  </w:num>
  <w:num w:numId="28">
    <w:abstractNumId w:val="19"/>
  </w:num>
  <w:num w:numId="29">
    <w:abstractNumId w:val="0"/>
  </w:num>
  <w:num w:numId="30">
    <w:abstractNumId w:val="2"/>
  </w:num>
  <w:num w:numId="31">
    <w:abstractNumId w:val="5"/>
  </w:num>
  <w:num w:numId="32">
    <w:abstractNumId w:val="17"/>
  </w:num>
  <w:num w:numId="33">
    <w:abstractNumId w:val="15"/>
  </w:num>
  <w:num w:numId="34">
    <w:abstractNumId w:val="31"/>
  </w:num>
  <w:num w:numId="35">
    <w:abstractNumId w:val="40"/>
  </w:num>
  <w:num w:numId="36">
    <w:abstractNumId w:val="6"/>
  </w:num>
  <w:num w:numId="37">
    <w:abstractNumId w:val="38"/>
  </w:num>
  <w:num w:numId="38">
    <w:abstractNumId w:val="33"/>
  </w:num>
  <w:num w:numId="39">
    <w:abstractNumId w:val="12"/>
  </w:num>
  <w:num w:numId="40">
    <w:abstractNumId w:val="9"/>
  </w:num>
  <w:num w:numId="41">
    <w:abstractNumId w:val="1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4"/>
    <w:rsid w:val="00003890"/>
    <w:rsid w:val="000059EF"/>
    <w:rsid w:val="00013238"/>
    <w:rsid w:val="00015EEC"/>
    <w:rsid w:val="00024BF2"/>
    <w:rsid w:val="000251EA"/>
    <w:rsid w:val="000263E3"/>
    <w:rsid w:val="00027A23"/>
    <w:rsid w:val="00033A4A"/>
    <w:rsid w:val="00033D70"/>
    <w:rsid w:val="00035FDD"/>
    <w:rsid w:val="00042FE9"/>
    <w:rsid w:val="00043E59"/>
    <w:rsid w:val="00046729"/>
    <w:rsid w:val="00047FE3"/>
    <w:rsid w:val="00052302"/>
    <w:rsid w:val="00057747"/>
    <w:rsid w:val="000661ED"/>
    <w:rsid w:val="0007218A"/>
    <w:rsid w:val="00073A06"/>
    <w:rsid w:val="000843A1"/>
    <w:rsid w:val="00086B6F"/>
    <w:rsid w:val="00090A49"/>
    <w:rsid w:val="000A3405"/>
    <w:rsid w:val="000A65D8"/>
    <w:rsid w:val="000A6709"/>
    <w:rsid w:val="000A6DC2"/>
    <w:rsid w:val="000B2521"/>
    <w:rsid w:val="000B26CF"/>
    <w:rsid w:val="000B3942"/>
    <w:rsid w:val="000B6169"/>
    <w:rsid w:val="000C5303"/>
    <w:rsid w:val="000C74D2"/>
    <w:rsid w:val="000D1406"/>
    <w:rsid w:val="000D23CA"/>
    <w:rsid w:val="000D3391"/>
    <w:rsid w:val="000D343D"/>
    <w:rsid w:val="000E5830"/>
    <w:rsid w:val="000E72FA"/>
    <w:rsid w:val="000F0105"/>
    <w:rsid w:val="000F314F"/>
    <w:rsid w:val="00100BD6"/>
    <w:rsid w:val="00104E29"/>
    <w:rsid w:val="00106AC5"/>
    <w:rsid w:val="00107252"/>
    <w:rsid w:val="001140AC"/>
    <w:rsid w:val="001201F9"/>
    <w:rsid w:val="0012321E"/>
    <w:rsid w:val="00123419"/>
    <w:rsid w:val="00126A24"/>
    <w:rsid w:val="00130CB5"/>
    <w:rsid w:val="00135C13"/>
    <w:rsid w:val="00135D50"/>
    <w:rsid w:val="001403C6"/>
    <w:rsid w:val="0014157F"/>
    <w:rsid w:val="00142765"/>
    <w:rsid w:val="00143DB1"/>
    <w:rsid w:val="001458B7"/>
    <w:rsid w:val="001620BA"/>
    <w:rsid w:val="00162F1F"/>
    <w:rsid w:val="00166562"/>
    <w:rsid w:val="00166D6A"/>
    <w:rsid w:val="00175675"/>
    <w:rsid w:val="00182E82"/>
    <w:rsid w:val="00191730"/>
    <w:rsid w:val="00194EB0"/>
    <w:rsid w:val="001954B1"/>
    <w:rsid w:val="00197A4B"/>
    <w:rsid w:val="001A2E88"/>
    <w:rsid w:val="001A34F0"/>
    <w:rsid w:val="001A4C10"/>
    <w:rsid w:val="001A5E91"/>
    <w:rsid w:val="001A61E0"/>
    <w:rsid w:val="001A66AA"/>
    <w:rsid w:val="001B19FD"/>
    <w:rsid w:val="001B2341"/>
    <w:rsid w:val="001B54ED"/>
    <w:rsid w:val="001B6F59"/>
    <w:rsid w:val="001C0997"/>
    <w:rsid w:val="001C4134"/>
    <w:rsid w:val="001C6077"/>
    <w:rsid w:val="001D04CD"/>
    <w:rsid w:val="001D1B57"/>
    <w:rsid w:val="001D20DD"/>
    <w:rsid w:val="001D26EE"/>
    <w:rsid w:val="001D4872"/>
    <w:rsid w:val="001D55B9"/>
    <w:rsid w:val="001D63A8"/>
    <w:rsid w:val="001D67F7"/>
    <w:rsid w:val="001E02A6"/>
    <w:rsid w:val="001E2A5D"/>
    <w:rsid w:val="001E55D7"/>
    <w:rsid w:val="001E5ED6"/>
    <w:rsid w:val="001E6A3B"/>
    <w:rsid w:val="001F6E2E"/>
    <w:rsid w:val="00200E8A"/>
    <w:rsid w:val="002030FE"/>
    <w:rsid w:val="002050DB"/>
    <w:rsid w:val="00205B7D"/>
    <w:rsid w:val="00206052"/>
    <w:rsid w:val="002106A7"/>
    <w:rsid w:val="0021225D"/>
    <w:rsid w:val="002145F6"/>
    <w:rsid w:val="002153C8"/>
    <w:rsid w:val="00220AA6"/>
    <w:rsid w:val="00221769"/>
    <w:rsid w:val="00221D11"/>
    <w:rsid w:val="002221FC"/>
    <w:rsid w:val="0022767E"/>
    <w:rsid w:val="0022784D"/>
    <w:rsid w:val="00233FA6"/>
    <w:rsid w:val="0023481F"/>
    <w:rsid w:val="00236A3C"/>
    <w:rsid w:val="0025120B"/>
    <w:rsid w:val="0025539C"/>
    <w:rsid w:val="00256DE1"/>
    <w:rsid w:val="00260BDB"/>
    <w:rsid w:val="002622AB"/>
    <w:rsid w:val="00264506"/>
    <w:rsid w:val="00266034"/>
    <w:rsid w:val="0026657C"/>
    <w:rsid w:val="00281372"/>
    <w:rsid w:val="0028424B"/>
    <w:rsid w:val="00291E8E"/>
    <w:rsid w:val="00294563"/>
    <w:rsid w:val="002B0C7B"/>
    <w:rsid w:val="002B145E"/>
    <w:rsid w:val="002B25A2"/>
    <w:rsid w:val="002B2D74"/>
    <w:rsid w:val="002B3A08"/>
    <w:rsid w:val="002C0443"/>
    <w:rsid w:val="002C423F"/>
    <w:rsid w:val="002C43B2"/>
    <w:rsid w:val="002C742D"/>
    <w:rsid w:val="002C7CAD"/>
    <w:rsid w:val="002D2F75"/>
    <w:rsid w:val="002D5B51"/>
    <w:rsid w:val="002E0F65"/>
    <w:rsid w:val="002E301B"/>
    <w:rsid w:val="002E40BE"/>
    <w:rsid w:val="002E529C"/>
    <w:rsid w:val="002E52A9"/>
    <w:rsid w:val="002F61F8"/>
    <w:rsid w:val="00300A64"/>
    <w:rsid w:val="003070D4"/>
    <w:rsid w:val="003104D4"/>
    <w:rsid w:val="00310F08"/>
    <w:rsid w:val="00312092"/>
    <w:rsid w:val="0031515F"/>
    <w:rsid w:val="003200D7"/>
    <w:rsid w:val="0032035A"/>
    <w:rsid w:val="003232E1"/>
    <w:rsid w:val="00332762"/>
    <w:rsid w:val="003438D7"/>
    <w:rsid w:val="00344089"/>
    <w:rsid w:val="00352A79"/>
    <w:rsid w:val="00352B9C"/>
    <w:rsid w:val="003532A8"/>
    <w:rsid w:val="003572E6"/>
    <w:rsid w:val="00362FB7"/>
    <w:rsid w:val="00364396"/>
    <w:rsid w:val="00365A3A"/>
    <w:rsid w:val="003662E7"/>
    <w:rsid w:val="00374FD6"/>
    <w:rsid w:val="00382431"/>
    <w:rsid w:val="00382466"/>
    <w:rsid w:val="003837E9"/>
    <w:rsid w:val="003853FA"/>
    <w:rsid w:val="00392BCF"/>
    <w:rsid w:val="00397AE8"/>
    <w:rsid w:val="003A6932"/>
    <w:rsid w:val="003A6BAF"/>
    <w:rsid w:val="003B0CC7"/>
    <w:rsid w:val="003B39CE"/>
    <w:rsid w:val="003B6A95"/>
    <w:rsid w:val="003C0D3C"/>
    <w:rsid w:val="003C202D"/>
    <w:rsid w:val="003C6A26"/>
    <w:rsid w:val="003C6ECF"/>
    <w:rsid w:val="003D7E20"/>
    <w:rsid w:val="003E1CFA"/>
    <w:rsid w:val="003E2E9C"/>
    <w:rsid w:val="003E6BE4"/>
    <w:rsid w:val="003F04AE"/>
    <w:rsid w:val="003F2EC2"/>
    <w:rsid w:val="003F3096"/>
    <w:rsid w:val="004020EB"/>
    <w:rsid w:val="004023F6"/>
    <w:rsid w:val="004029BB"/>
    <w:rsid w:val="00410254"/>
    <w:rsid w:val="00413BA0"/>
    <w:rsid w:val="0041443B"/>
    <w:rsid w:val="0041637F"/>
    <w:rsid w:val="00416A3F"/>
    <w:rsid w:val="00422FCE"/>
    <w:rsid w:val="0042646C"/>
    <w:rsid w:val="004413A7"/>
    <w:rsid w:val="00444985"/>
    <w:rsid w:val="00447E4E"/>
    <w:rsid w:val="00453EE1"/>
    <w:rsid w:val="00456A8D"/>
    <w:rsid w:val="0046602B"/>
    <w:rsid w:val="004771A1"/>
    <w:rsid w:val="00477C83"/>
    <w:rsid w:val="00481DDB"/>
    <w:rsid w:val="00483DB5"/>
    <w:rsid w:val="00484E04"/>
    <w:rsid w:val="00484FBC"/>
    <w:rsid w:val="00487613"/>
    <w:rsid w:val="004902E9"/>
    <w:rsid w:val="00490CBE"/>
    <w:rsid w:val="00492243"/>
    <w:rsid w:val="00492A9D"/>
    <w:rsid w:val="00492FA1"/>
    <w:rsid w:val="00496656"/>
    <w:rsid w:val="00497783"/>
    <w:rsid w:val="004B2061"/>
    <w:rsid w:val="004B2630"/>
    <w:rsid w:val="004C0CA2"/>
    <w:rsid w:val="004C1B4B"/>
    <w:rsid w:val="004C427A"/>
    <w:rsid w:val="004C66E1"/>
    <w:rsid w:val="004D17B5"/>
    <w:rsid w:val="004D27BC"/>
    <w:rsid w:val="004D780F"/>
    <w:rsid w:val="004F1F4D"/>
    <w:rsid w:val="004F28E0"/>
    <w:rsid w:val="004F2E43"/>
    <w:rsid w:val="004F68C6"/>
    <w:rsid w:val="004F70F3"/>
    <w:rsid w:val="004F7313"/>
    <w:rsid w:val="00500C64"/>
    <w:rsid w:val="00501FC6"/>
    <w:rsid w:val="0052064E"/>
    <w:rsid w:val="005218A1"/>
    <w:rsid w:val="00523C6C"/>
    <w:rsid w:val="00530B42"/>
    <w:rsid w:val="00533F7D"/>
    <w:rsid w:val="005376EB"/>
    <w:rsid w:val="005407A0"/>
    <w:rsid w:val="0054155F"/>
    <w:rsid w:val="005449C3"/>
    <w:rsid w:val="00550805"/>
    <w:rsid w:val="00555646"/>
    <w:rsid w:val="00570B65"/>
    <w:rsid w:val="005710D6"/>
    <w:rsid w:val="00571E10"/>
    <w:rsid w:val="005750BE"/>
    <w:rsid w:val="0057669E"/>
    <w:rsid w:val="00583A66"/>
    <w:rsid w:val="00585821"/>
    <w:rsid w:val="005875DA"/>
    <w:rsid w:val="00590DE3"/>
    <w:rsid w:val="00591E69"/>
    <w:rsid w:val="005949C8"/>
    <w:rsid w:val="005A0D3F"/>
    <w:rsid w:val="005A13B4"/>
    <w:rsid w:val="005A152F"/>
    <w:rsid w:val="005A661A"/>
    <w:rsid w:val="005B0771"/>
    <w:rsid w:val="005B5F06"/>
    <w:rsid w:val="005B5F63"/>
    <w:rsid w:val="005B6EAC"/>
    <w:rsid w:val="005C06CE"/>
    <w:rsid w:val="005C06EB"/>
    <w:rsid w:val="005C70FB"/>
    <w:rsid w:val="005D62C2"/>
    <w:rsid w:val="005D6D83"/>
    <w:rsid w:val="005E15E8"/>
    <w:rsid w:val="005F39CF"/>
    <w:rsid w:val="00600677"/>
    <w:rsid w:val="00600727"/>
    <w:rsid w:val="00602E84"/>
    <w:rsid w:val="006042A1"/>
    <w:rsid w:val="006072F6"/>
    <w:rsid w:val="00610045"/>
    <w:rsid w:val="0061130C"/>
    <w:rsid w:val="00612895"/>
    <w:rsid w:val="00621AB6"/>
    <w:rsid w:val="006239FC"/>
    <w:rsid w:val="00631548"/>
    <w:rsid w:val="006349C0"/>
    <w:rsid w:val="00634CE7"/>
    <w:rsid w:val="00637E79"/>
    <w:rsid w:val="00640BB5"/>
    <w:rsid w:val="00641BC1"/>
    <w:rsid w:val="006429BC"/>
    <w:rsid w:val="006467DE"/>
    <w:rsid w:val="00646914"/>
    <w:rsid w:val="006473D5"/>
    <w:rsid w:val="006505C5"/>
    <w:rsid w:val="00650A0D"/>
    <w:rsid w:val="006574F6"/>
    <w:rsid w:val="00660F65"/>
    <w:rsid w:val="00665E4D"/>
    <w:rsid w:val="00675B44"/>
    <w:rsid w:val="00676D50"/>
    <w:rsid w:val="00676EAF"/>
    <w:rsid w:val="00680C2E"/>
    <w:rsid w:val="00683778"/>
    <w:rsid w:val="00683C74"/>
    <w:rsid w:val="00692ABB"/>
    <w:rsid w:val="00696179"/>
    <w:rsid w:val="00696516"/>
    <w:rsid w:val="006A2359"/>
    <w:rsid w:val="006A441A"/>
    <w:rsid w:val="006A4B5E"/>
    <w:rsid w:val="006A68E8"/>
    <w:rsid w:val="006B3084"/>
    <w:rsid w:val="006B5222"/>
    <w:rsid w:val="006B79A1"/>
    <w:rsid w:val="006C13D8"/>
    <w:rsid w:val="006C7669"/>
    <w:rsid w:val="006D1477"/>
    <w:rsid w:val="006D30C2"/>
    <w:rsid w:val="006D3307"/>
    <w:rsid w:val="006E1A57"/>
    <w:rsid w:val="006F1076"/>
    <w:rsid w:val="006F39AA"/>
    <w:rsid w:val="006F54F6"/>
    <w:rsid w:val="006F5ED7"/>
    <w:rsid w:val="006F629B"/>
    <w:rsid w:val="006F7691"/>
    <w:rsid w:val="006F7FB5"/>
    <w:rsid w:val="0070174A"/>
    <w:rsid w:val="007072B8"/>
    <w:rsid w:val="0071025C"/>
    <w:rsid w:val="00710E14"/>
    <w:rsid w:val="00710FA3"/>
    <w:rsid w:val="0071172E"/>
    <w:rsid w:val="00713DFB"/>
    <w:rsid w:val="00721781"/>
    <w:rsid w:val="00723058"/>
    <w:rsid w:val="00734DF1"/>
    <w:rsid w:val="007362D9"/>
    <w:rsid w:val="007377E1"/>
    <w:rsid w:val="00740438"/>
    <w:rsid w:val="00742F82"/>
    <w:rsid w:val="007458E7"/>
    <w:rsid w:val="00752D67"/>
    <w:rsid w:val="0075344A"/>
    <w:rsid w:val="00766BB7"/>
    <w:rsid w:val="00770B57"/>
    <w:rsid w:val="00773BDE"/>
    <w:rsid w:val="00773D75"/>
    <w:rsid w:val="0077624A"/>
    <w:rsid w:val="00777817"/>
    <w:rsid w:val="00796E4D"/>
    <w:rsid w:val="00797294"/>
    <w:rsid w:val="007A3564"/>
    <w:rsid w:val="007B6D65"/>
    <w:rsid w:val="007D106A"/>
    <w:rsid w:val="007D4827"/>
    <w:rsid w:val="007D4DDD"/>
    <w:rsid w:val="007D570C"/>
    <w:rsid w:val="007F41D1"/>
    <w:rsid w:val="007F6DF7"/>
    <w:rsid w:val="00802B67"/>
    <w:rsid w:val="0080742E"/>
    <w:rsid w:val="00810850"/>
    <w:rsid w:val="00814DAE"/>
    <w:rsid w:val="00817F1E"/>
    <w:rsid w:val="00823144"/>
    <w:rsid w:val="0083149B"/>
    <w:rsid w:val="00831F6F"/>
    <w:rsid w:val="0083205A"/>
    <w:rsid w:val="00836434"/>
    <w:rsid w:val="008426F0"/>
    <w:rsid w:val="00844DE0"/>
    <w:rsid w:val="0084739E"/>
    <w:rsid w:val="00851E0D"/>
    <w:rsid w:val="008526EB"/>
    <w:rsid w:val="00854606"/>
    <w:rsid w:val="008552CA"/>
    <w:rsid w:val="00867B31"/>
    <w:rsid w:val="0087092F"/>
    <w:rsid w:val="008807B4"/>
    <w:rsid w:val="00884CF8"/>
    <w:rsid w:val="00885C7F"/>
    <w:rsid w:val="008878F1"/>
    <w:rsid w:val="00890787"/>
    <w:rsid w:val="00891E6C"/>
    <w:rsid w:val="00892938"/>
    <w:rsid w:val="008943D0"/>
    <w:rsid w:val="008A242E"/>
    <w:rsid w:val="008A64D8"/>
    <w:rsid w:val="008B25D7"/>
    <w:rsid w:val="008B75B2"/>
    <w:rsid w:val="008C4BD1"/>
    <w:rsid w:val="008C5108"/>
    <w:rsid w:val="008C5D4B"/>
    <w:rsid w:val="008D20F3"/>
    <w:rsid w:val="008D433E"/>
    <w:rsid w:val="008E1895"/>
    <w:rsid w:val="008E44C6"/>
    <w:rsid w:val="008F1035"/>
    <w:rsid w:val="008F497D"/>
    <w:rsid w:val="009030E1"/>
    <w:rsid w:val="009054CA"/>
    <w:rsid w:val="0090578F"/>
    <w:rsid w:val="00915200"/>
    <w:rsid w:val="009176E4"/>
    <w:rsid w:val="00920978"/>
    <w:rsid w:val="00926815"/>
    <w:rsid w:val="00935353"/>
    <w:rsid w:val="00945884"/>
    <w:rsid w:val="00946247"/>
    <w:rsid w:val="00946308"/>
    <w:rsid w:val="0094738E"/>
    <w:rsid w:val="009760E8"/>
    <w:rsid w:val="0098165D"/>
    <w:rsid w:val="00982CCD"/>
    <w:rsid w:val="00985C97"/>
    <w:rsid w:val="009861C1"/>
    <w:rsid w:val="00986812"/>
    <w:rsid w:val="00987E87"/>
    <w:rsid w:val="00987EDF"/>
    <w:rsid w:val="0099125A"/>
    <w:rsid w:val="00993867"/>
    <w:rsid w:val="009A0092"/>
    <w:rsid w:val="009B0566"/>
    <w:rsid w:val="009B4B7B"/>
    <w:rsid w:val="009B7788"/>
    <w:rsid w:val="009D0EFC"/>
    <w:rsid w:val="009D6F79"/>
    <w:rsid w:val="009E2BED"/>
    <w:rsid w:val="009F0C36"/>
    <w:rsid w:val="00A12041"/>
    <w:rsid w:val="00A12FC1"/>
    <w:rsid w:val="00A1373E"/>
    <w:rsid w:val="00A1459F"/>
    <w:rsid w:val="00A147E1"/>
    <w:rsid w:val="00A17212"/>
    <w:rsid w:val="00A26FD4"/>
    <w:rsid w:val="00A2717C"/>
    <w:rsid w:val="00A326D5"/>
    <w:rsid w:val="00A32851"/>
    <w:rsid w:val="00A35325"/>
    <w:rsid w:val="00A35817"/>
    <w:rsid w:val="00A36BD8"/>
    <w:rsid w:val="00A41B21"/>
    <w:rsid w:val="00A427B0"/>
    <w:rsid w:val="00A46F3D"/>
    <w:rsid w:val="00A47161"/>
    <w:rsid w:val="00A47B35"/>
    <w:rsid w:val="00A61A14"/>
    <w:rsid w:val="00A63141"/>
    <w:rsid w:val="00A643BA"/>
    <w:rsid w:val="00A6721B"/>
    <w:rsid w:val="00A67866"/>
    <w:rsid w:val="00A717AF"/>
    <w:rsid w:val="00A7310A"/>
    <w:rsid w:val="00A77192"/>
    <w:rsid w:val="00A9106C"/>
    <w:rsid w:val="00A913D2"/>
    <w:rsid w:val="00AA0D85"/>
    <w:rsid w:val="00AA6B31"/>
    <w:rsid w:val="00AB1C1E"/>
    <w:rsid w:val="00AB24FC"/>
    <w:rsid w:val="00AB40AA"/>
    <w:rsid w:val="00AB56D7"/>
    <w:rsid w:val="00AB596B"/>
    <w:rsid w:val="00AB717D"/>
    <w:rsid w:val="00AC0755"/>
    <w:rsid w:val="00AC49CB"/>
    <w:rsid w:val="00AC4A33"/>
    <w:rsid w:val="00AC4C84"/>
    <w:rsid w:val="00AD2213"/>
    <w:rsid w:val="00AD446B"/>
    <w:rsid w:val="00AE483E"/>
    <w:rsid w:val="00AF6591"/>
    <w:rsid w:val="00B01148"/>
    <w:rsid w:val="00B01240"/>
    <w:rsid w:val="00B06CD9"/>
    <w:rsid w:val="00B0706A"/>
    <w:rsid w:val="00B1257A"/>
    <w:rsid w:val="00B17B85"/>
    <w:rsid w:val="00B201DF"/>
    <w:rsid w:val="00B223A8"/>
    <w:rsid w:val="00B23232"/>
    <w:rsid w:val="00B243D0"/>
    <w:rsid w:val="00B26E7C"/>
    <w:rsid w:val="00B34427"/>
    <w:rsid w:val="00B348B5"/>
    <w:rsid w:val="00B36974"/>
    <w:rsid w:val="00B3717B"/>
    <w:rsid w:val="00B4059D"/>
    <w:rsid w:val="00B40E93"/>
    <w:rsid w:val="00B42354"/>
    <w:rsid w:val="00B42D0D"/>
    <w:rsid w:val="00B47F21"/>
    <w:rsid w:val="00B523EB"/>
    <w:rsid w:val="00B525CF"/>
    <w:rsid w:val="00B57AD1"/>
    <w:rsid w:val="00B725C1"/>
    <w:rsid w:val="00B8012D"/>
    <w:rsid w:val="00B86B8E"/>
    <w:rsid w:val="00B94F31"/>
    <w:rsid w:val="00B97111"/>
    <w:rsid w:val="00BA053F"/>
    <w:rsid w:val="00BA0DD8"/>
    <w:rsid w:val="00BA4DEE"/>
    <w:rsid w:val="00BA518F"/>
    <w:rsid w:val="00BB01CC"/>
    <w:rsid w:val="00BB0656"/>
    <w:rsid w:val="00BB0D1E"/>
    <w:rsid w:val="00BB2C9B"/>
    <w:rsid w:val="00BB4C15"/>
    <w:rsid w:val="00BB6166"/>
    <w:rsid w:val="00BC1C4B"/>
    <w:rsid w:val="00BC3C50"/>
    <w:rsid w:val="00BC67BF"/>
    <w:rsid w:val="00BD0861"/>
    <w:rsid w:val="00BD5A5B"/>
    <w:rsid w:val="00BD6C66"/>
    <w:rsid w:val="00BE16CB"/>
    <w:rsid w:val="00BE18FC"/>
    <w:rsid w:val="00BE1E94"/>
    <w:rsid w:val="00BF5F6F"/>
    <w:rsid w:val="00BF66AC"/>
    <w:rsid w:val="00BF680D"/>
    <w:rsid w:val="00C01801"/>
    <w:rsid w:val="00C01F66"/>
    <w:rsid w:val="00C11579"/>
    <w:rsid w:val="00C11A4A"/>
    <w:rsid w:val="00C11F14"/>
    <w:rsid w:val="00C13693"/>
    <w:rsid w:val="00C14D37"/>
    <w:rsid w:val="00C15B64"/>
    <w:rsid w:val="00C22124"/>
    <w:rsid w:val="00C22458"/>
    <w:rsid w:val="00C24CFD"/>
    <w:rsid w:val="00C255ED"/>
    <w:rsid w:val="00C30F91"/>
    <w:rsid w:val="00C30FD4"/>
    <w:rsid w:val="00C33855"/>
    <w:rsid w:val="00C3493F"/>
    <w:rsid w:val="00C35B4B"/>
    <w:rsid w:val="00C410D0"/>
    <w:rsid w:val="00C42867"/>
    <w:rsid w:val="00C42D2B"/>
    <w:rsid w:val="00C430BD"/>
    <w:rsid w:val="00C50FD1"/>
    <w:rsid w:val="00C5466B"/>
    <w:rsid w:val="00C56F90"/>
    <w:rsid w:val="00C65370"/>
    <w:rsid w:val="00C734D9"/>
    <w:rsid w:val="00C73852"/>
    <w:rsid w:val="00C816EA"/>
    <w:rsid w:val="00C82B1D"/>
    <w:rsid w:val="00C84CC4"/>
    <w:rsid w:val="00C87CC3"/>
    <w:rsid w:val="00C973FE"/>
    <w:rsid w:val="00CA25E2"/>
    <w:rsid w:val="00CA5986"/>
    <w:rsid w:val="00CA5E83"/>
    <w:rsid w:val="00CD1EE7"/>
    <w:rsid w:val="00CD36E1"/>
    <w:rsid w:val="00CD7126"/>
    <w:rsid w:val="00CE0692"/>
    <w:rsid w:val="00CE46B1"/>
    <w:rsid w:val="00CE6231"/>
    <w:rsid w:val="00CF04D0"/>
    <w:rsid w:val="00CF1799"/>
    <w:rsid w:val="00CF51E9"/>
    <w:rsid w:val="00CF7052"/>
    <w:rsid w:val="00D11996"/>
    <w:rsid w:val="00D1528F"/>
    <w:rsid w:val="00D162A3"/>
    <w:rsid w:val="00D246D6"/>
    <w:rsid w:val="00D2726F"/>
    <w:rsid w:val="00D31B3F"/>
    <w:rsid w:val="00D327C5"/>
    <w:rsid w:val="00D34277"/>
    <w:rsid w:val="00D342AF"/>
    <w:rsid w:val="00D3638D"/>
    <w:rsid w:val="00D42679"/>
    <w:rsid w:val="00D44342"/>
    <w:rsid w:val="00D44959"/>
    <w:rsid w:val="00D44C6C"/>
    <w:rsid w:val="00D466DC"/>
    <w:rsid w:val="00D52D7F"/>
    <w:rsid w:val="00D54C6B"/>
    <w:rsid w:val="00D65CA5"/>
    <w:rsid w:val="00D705E4"/>
    <w:rsid w:val="00D70B2A"/>
    <w:rsid w:val="00D742AA"/>
    <w:rsid w:val="00D74B08"/>
    <w:rsid w:val="00D764CD"/>
    <w:rsid w:val="00D77447"/>
    <w:rsid w:val="00D87439"/>
    <w:rsid w:val="00D87E05"/>
    <w:rsid w:val="00D978AE"/>
    <w:rsid w:val="00DA2104"/>
    <w:rsid w:val="00DA4D16"/>
    <w:rsid w:val="00DA57BD"/>
    <w:rsid w:val="00DB3902"/>
    <w:rsid w:val="00DC2FCE"/>
    <w:rsid w:val="00DC46C7"/>
    <w:rsid w:val="00DC7F9A"/>
    <w:rsid w:val="00DD49CB"/>
    <w:rsid w:val="00DE34C1"/>
    <w:rsid w:val="00DE5BF9"/>
    <w:rsid w:val="00DF1855"/>
    <w:rsid w:val="00DF6EEF"/>
    <w:rsid w:val="00E030A2"/>
    <w:rsid w:val="00E109FA"/>
    <w:rsid w:val="00E1225E"/>
    <w:rsid w:val="00E1517E"/>
    <w:rsid w:val="00E15DC1"/>
    <w:rsid w:val="00E1746A"/>
    <w:rsid w:val="00E36CDD"/>
    <w:rsid w:val="00E37431"/>
    <w:rsid w:val="00E406A8"/>
    <w:rsid w:val="00E41C53"/>
    <w:rsid w:val="00E456B2"/>
    <w:rsid w:val="00E467EE"/>
    <w:rsid w:val="00E52D77"/>
    <w:rsid w:val="00E551BF"/>
    <w:rsid w:val="00E61059"/>
    <w:rsid w:val="00E63331"/>
    <w:rsid w:val="00E63908"/>
    <w:rsid w:val="00E6638E"/>
    <w:rsid w:val="00E66855"/>
    <w:rsid w:val="00E731E7"/>
    <w:rsid w:val="00E833AF"/>
    <w:rsid w:val="00E85759"/>
    <w:rsid w:val="00EA38F7"/>
    <w:rsid w:val="00EB19D8"/>
    <w:rsid w:val="00EC2E67"/>
    <w:rsid w:val="00EC4A4D"/>
    <w:rsid w:val="00EC7367"/>
    <w:rsid w:val="00ED048B"/>
    <w:rsid w:val="00ED1A10"/>
    <w:rsid w:val="00ED33FC"/>
    <w:rsid w:val="00ED7888"/>
    <w:rsid w:val="00EE4BDE"/>
    <w:rsid w:val="00EE5B3D"/>
    <w:rsid w:val="00EE693F"/>
    <w:rsid w:val="00EF27F3"/>
    <w:rsid w:val="00F02C36"/>
    <w:rsid w:val="00F076BE"/>
    <w:rsid w:val="00F14CF4"/>
    <w:rsid w:val="00F1687C"/>
    <w:rsid w:val="00F20CD9"/>
    <w:rsid w:val="00F21BE0"/>
    <w:rsid w:val="00F222BE"/>
    <w:rsid w:val="00F24E7D"/>
    <w:rsid w:val="00F27BA8"/>
    <w:rsid w:val="00F40DEC"/>
    <w:rsid w:val="00F42BE2"/>
    <w:rsid w:val="00F519FC"/>
    <w:rsid w:val="00F53676"/>
    <w:rsid w:val="00F541FF"/>
    <w:rsid w:val="00F569EA"/>
    <w:rsid w:val="00F57143"/>
    <w:rsid w:val="00F57F34"/>
    <w:rsid w:val="00F61727"/>
    <w:rsid w:val="00F627E7"/>
    <w:rsid w:val="00F62AF2"/>
    <w:rsid w:val="00F64464"/>
    <w:rsid w:val="00F65AB4"/>
    <w:rsid w:val="00F700DC"/>
    <w:rsid w:val="00F73F20"/>
    <w:rsid w:val="00F800C3"/>
    <w:rsid w:val="00F80117"/>
    <w:rsid w:val="00F8304C"/>
    <w:rsid w:val="00F975D2"/>
    <w:rsid w:val="00FA360A"/>
    <w:rsid w:val="00FB1EAB"/>
    <w:rsid w:val="00FC1CE1"/>
    <w:rsid w:val="00FC1EC8"/>
    <w:rsid w:val="00FD2336"/>
    <w:rsid w:val="00FD5183"/>
    <w:rsid w:val="00FD586F"/>
    <w:rsid w:val="00FE13C2"/>
    <w:rsid w:val="00FE4729"/>
    <w:rsid w:val="00FF12FD"/>
    <w:rsid w:val="00FF22A3"/>
    <w:rsid w:val="00FF414C"/>
    <w:rsid w:val="00FF6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4DFDAE"/>
  <w15:docId w15:val="{CAB83429-F67B-4C23-9E38-7073390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Garamond Pro" w:eastAsia="Times New Roman" w:hAnsi="Adobe Garamond Pro" w:cs="LPMQ Isep Misbah"/>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34"/>
    <w:pPr>
      <w:spacing w:after="200" w:line="276" w:lineRule="auto"/>
    </w:pPr>
  </w:style>
  <w:style w:type="paragraph" w:styleId="Heading1">
    <w:name w:val="heading 1"/>
    <w:basedOn w:val="Normal"/>
    <w:next w:val="Normal"/>
    <w:link w:val="Heading1Char"/>
    <w:qFormat/>
    <w:rsid w:val="000B3942"/>
    <w:pPr>
      <w:keepNext/>
      <w:spacing w:after="0" w:line="240" w:lineRule="auto"/>
      <w:jc w:val="right"/>
      <w:outlineLvl w:val="0"/>
    </w:pPr>
    <w:rPr>
      <w:rFonts w:ascii="(normal text)" w:eastAsia="SimSun" w:hAnsi="(normal text)" w:cs="Traditional Arabic"/>
      <w:sz w:val="32"/>
      <w:szCs w:val="32"/>
      <w:lang w:eastAsia="zh-CN"/>
    </w:rPr>
  </w:style>
  <w:style w:type="paragraph" w:styleId="Heading2">
    <w:name w:val="heading 2"/>
    <w:basedOn w:val="Normal"/>
    <w:next w:val="Normal"/>
    <w:link w:val="Heading2Char"/>
    <w:qFormat/>
    <w:rsid w:val="000B3942"/>
    <w:pPr>
      <w:keepNext/>
      <w:spacing w:after="0" w:line="240" w:lineRule="auto"/>
      <w:ind w:firstLine="720"/>
      <w:jc w:val="right"/>
      <w:outlineLvl w:val="1"/>
    </w:pPr>
    <w:rPr>
      <w:rFonts w:ascii="Times New Roman" w:eastAsia="SimSun" w:hAnsi="Times New Roman" w:cs="Traditional Arabic"/>
      <w:sz w:val="32"/>
      <w:szCs w:val="32"/>
      <w:lang w:eastAsia="zh-CN"/>
    </w:rPr>
  </w:style>
  <w:style w:type="paragraph" w:styleId="Heading3">
    <w:name w:val="heading 3"/>
    <w:basedOn w:val="Normal"/>
    <w:next w:val="Normal"/>
    <w:link w:val="Heading3Char"/>
    <w:qFormat/>
    <w:rsid w:val="000B3942"/>
    <w:pPr>
      <w:keepNext/>
      <w:tabs>
        <w:tab w:val="left" w:pos="900"/>
      </w:tabs>
      <w:spacing w:after="0" w:line="240" w:lineRule="auto"/>
      <w:jc w:val="both"/>
      <w:outlineLvl w:val="2"/>
    </w:pPr>
    <w:rPr>
      <w:rFonts w:ascii="Times New Roman" w:eastAsia="SimSun" w:hAnsi="Times New Roman" w:cs="Times New Roman"/>
      <w:b/>
      <w:bCs/>
      <w:lang w:eastAsia="zh-CN"/>
    </w:rPr>
  </w:style>
  <w:style w:type="paragraph" w:styleId="Heading4">
    <w:name w:val="heading 4"/>
    <w:basedOn w:val="Normal"/>
    <w:next w:val="Normal"/>
    <w:link w:val="Heading4Char"/>
    <w:qFormat/>
    <w:rsid w:val="000B3942"/>
    <w:pPr>
      <w:keepNext/>
      <w:spacing w:after="0" w:line="240" w:lineRule="auto"/>
      <w:ind w:left="1260" w:hanging="1242"/>
      <w:jc w:val="right"/>
      <w:outlineLvl w:val="3"/>
    </w:pPr>
    <w:rPr>
      <w:rFonts w:ascii="Times New Roman" w:eastAsia="SimSun" w:hAnsi="Times New Roman" w:cs="Times New Roman"/>
      <w:sz w:val="32"/>
      <w:szCs w:val="32"/>
      <w:lang w:eastAsia="zh-CN"/>
    </w:rPr>
  </w:style>
  <w:style w:type="paragraph" w:styleId="Heading5">
    <w:name w:val="heading 5"/>
    <w:basedOn w:val="Normal"/>
    <w:next w:val="Normal"/>
    <w:link w:val="Heading5Char"/>
    <w:qFormat/>
    <w:rsid w:val="000B3942"/>
    <w:pPr>
      <w:keepNext/>
      <w:spacing w:after="0" w:line="240" w:lineRule="auto"/>
      <w:jc w:val="right"/>
      <w:outlineLvl w:val="4"/>
    </w:pPr>
    <w:rPr>
      <w:rFonts w:ascii="Times New Roman" w:eastAsia="SimSun" w:hAnsi="Times New Roman" w:cs="Times New Roman"/>
      <w:sz w:val="32"/>
      <w:szCs w:val="3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36434"/>
    <w:pPr>
      <w:autoSpaceDE w:val="0"/>
      <w:autoSpaceDN w:val="0"/>
      <w:spacing w:after="0" w:line="480" w:lineRule="auto"/>
      <w:jc w:val="center"/>
    </w:pPr>
    <w:rPr>
      <w:rFonts w:ascii="Times New Roman" w:hAnsi="Times New Roman" w:cs="Traditional Arabic"/>
      <w:b/>
      <w:bCs/>
      <w:sz w:val="26"/>
      <w:szCs w:val="26"/>
    </w:rPr>
  </w:style>
  <w:style w:type="character" w:customStyle="1" w:styleId="TitleChar">
    <w:name w:val="Title Char"/>
    <w:link w:val="Title"/>
    <w:uiPriority w:val="10"/>
    <w:locked/>
    <w:rsid w:val="00836434"/>
    <w:rPr>
      <w:rFonts w:ascii="Times New Roman" w:hAnsi="Times New Roman" w:cs="Traditional Arabic"/>
      <w:b/>
      <w:bCs/>
      <w:sz w:val="26"/>
      <w:szCs w:val="26"/>
    </w:rPr>
  </w:style>
  <w:style w:type="table" w:styleId="TableGrid">
    <w:name w:val="Table Grid"/>
    <w:basedOn w:val="TableNormal"/>
    <w:rsid w:val="008364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1F66"/>
    <w:rPr>
      <w:rFonts w:ascii="Tahoma" w:hAnsi="Tahoma" w:cs="Tahoma"/>
      <w:sz w:val="16"/>
      <w:szCs w:val="16"/>
      <w:lang w:bidi="ar-DZ"/>
    </w:rPr>
  </w:style>
  <w:style w:type="paragraph" w:styleId="Header">
    <w:name w:val="header"/>
    <w:basedOn w:val="Normal"/>
    <w:link w:val="HeaderChar"/>
    <w:unhideWhenUsed/>
    <w:rsid w:val="003438D7"/>
    <w:pPr>
      <w:tabs>
        <w:tab w:val="center" w:pos="4320"/>
        <w:tab w:val="right" w:pos="8640"/>
      </w:tabs>
      <w:spacing w:after="0" w:line="240" w:lineRule="auto"/>
    </w:pPr>
  </w:style>
  <w:style w:type="character" w:customStyle="1" w:styleId="HeaderChar">
    <w:name w:val="Header Char"/>
    <w:basedOn w:val="DefaultParagraphFont"/>
    <w:link w:val="Header"/>
    <w:rsid w:val="003438D7"/>
    <w:rPr>
      <w:rFonts w:cs="Arial"/>
      <w:sz w:val="22"/>
      <w:szCs w:val="22"/>
      <w:lang w:bidi="ar-DZ"/>
    </w:rPr>
  </w:style>
  <w:style w:type="paragraph" w:styleId="Footer">
    <w:name w:val="footer"/>
    <w:basedOn w:val="Normal"/>
    <w:link w:val="FooterChar"/>
    <w:uiPriority w:val="99"/>
    <w:unhideWhenUsed/>
    <w:rsid w:val="003438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8D7"/>
    <w:rPr>
      <w:rFonts w:cs="Arial"/>
      <w:sz w:val="22"/>
      <w:szCs w:val="22"/>
      <w:lang w:bidi="ar-DZ"/>
    </w:rPr>
  </w:style>
  <w:style w:type="paragraph" w:styleId="FootnoteText">
    <w:name w:val="footnote text"/>
    <w:basedOn w:val="Normal"/>
    <w:link w:val="FootnoteTextChar"/>
    <w:semiHidden/>
    <w:rsid w:val="000B394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0B3942"/>
    <w:rPr>
      <w:rFonts w:ascii="Times New Roman" w:eastAsia="SimSun" w:hAnsi="Times New Roman" w:cs="Times New Roman"/>
      <w:lang w:eastAsia="zh-CN"/>
    </w:rPr>
  </w:style>
  <w:style w:type="character" w:styleId="FootnoteReference">
    <w:name w:val="footnote reference"/>
    <w:basedOn w:val="DefaultParagraphFont"/>
    <w:semiHidden/>
    <w:rsid w:val="000B3942"/>
    <w:rPr>
      <w:rFonts w:cs="Times New Roman"/>
      <w:vertAlign w:val="superscript"/>
    </w:rPr>
  </w:style>
  <w:style w:type="character" w:customStyle="1" w:styleId="Heading1Char">
    <w:name w:val="Heading 1 Char"/>
    <w:basedOn w:val="DefaultParagraphFont"/>
    <w:link w:val="Heading1"/>
    <w:rsid w:val="000B3942"/>
    <w:rPr>
      <w:rFonts w:ascii="(normal text)" w:eastAsia="SimSun" w:hAnsi="(normal text)" w:cs="Traditional Arabic"/>
      <w:sz w:val="32"/>
      <w:szCs w:val="32"/>
      <w:lang w:eastAsia="zh-CN"/>
    </w:rPr>
  </w:style>
  <w:style w:type="character" w:customStyle="1" w:styleId="Heading2Char">
    <w:name w:val="Heading 2 Char"/>
    <w:basedOn w:val="DefaultParagraphFont"/>
    <w:link w:val="Heading2"/>
    <w:rsid w:val="000B3942"/>
    <w:rPr>
      <w:rFonts w:ascii="Times New Roman" w:eastAsia="SimSun" w:hAnsi="Times New Roman" w:cs="Traditional Arabic"/>
      <w:sz w:val="32"/>
      <w:szCs w:val="32"/>
      <w:lang w:eastAsia="zh-CN"/>
    </w:rPr>
  </w:style>
  <w:style w:type="character" w:customStyle="1" w:styleId="Heading3Char">
    <w:name w:val="Heading 3 Char"/>
    <w:basedOn w:val="DefaultParagraphFont"/>
    <w:link w:val="Heading3"/>
    <w:rsid w:val="000B3942"/>
    <w:rPr>
      <w:rFonts w:ascii="Times New Roman" w:eastAsia="SimSun" w:hAnsi="Times New Roman" w:cs="Times New Roman"/>
      <w:b/>
      <w:bCs/>
      <w:sz w:val="24"/>
      <w:szCs w:val="24"/>
      <w:lang w:eastAsia="zh-CN"/>
    </w:rPr>
  </w:style>
  <w:style w:type="character" w:customStyle="1" w:styleId="Heading4Char">
    <w:name w:val="Heading 4 Char"/>
    <w:basedOn w:val="DefaultParagraphFont"/>
    <w:link w:val="Heading4"/>
    <w:rsid w:val="000B3942"/>
    <w:rPr>
      <w:rFonts w:ascii="Times New Roman" w:eastAsia="SimSun" w:hAnsi="Times New Roman" w:cs="Times New Roman"/>
      <w:sz w:val="32"/>
      <w:szCs w:val="32"/>
      <w:lang w:eastAsia="zh-CN"/>
    </w:rPr>
  </w:style>
  <w:style w:type="character" w:customStyle="1" w:styleId="Heading5Char">
    <w:name w:val="Heading 5 Char"/>
    <w:basedOn w:val="DefaultParagraphFont"/>
    <w:link w:val="Heading5"/>
    <w:rsid w:val="000B3942"/>
    <w:rPr>
      <w:rFonts w:ascii="Times New Roman" w:eastAsia="SimSun" w:hAnsi="Times New Roman" w:cs="Times New Roman"/>
      <w:sz w:val="32"/>
      <w:szCs w:val="32"/>
      <w:lang w:eastAsia="zh-CN"/>
    </w:rPr>
  </w:style>
  <w:style w:type="character" w:styleId="PageNumber">
    <w:name w:val="page number"/>
    <w:basedOn w:val="DefaultParagraphFont"/>
    <w:rsid w:val="000B3942"/>
  </w:style>
  <w:style w:type="paragraph" w:styleId="ListParagraph">
    <w:name w:val="List Paragraph"/>
    <w:basedOn w:val="Normal"/>
    <w:uiPriority w:val="34"/>
    <w:qFormat/>
    <w:rsid w:val="000B3942"/>
    <w:pPr>
      <w:spacing w:after="0" w:line="240" w:lineRule="auto"/>
      <w:ind w:left="720"/>
      <w:contextualSpacing/>
      <w:jc w:val="both"/>
    </w:pPr>
    <w:rPr>
      <w:rFonts w:asciiTheme="minorHAnsi" w:eastAsiaTheme="minorHAnsi" w:hAnsiTheme="minorHAnsi" w:cstheme="minorBidi"/>
      <w:noProof/>
      <w:lang w:val="id-ID"/>
    </w:rPr>
  </w:style>
  <w:style w:type="paragraph" w:styleId="BodyTextIndent">
    <w:name w:val="Body Text Indent"/>
    <w:basedOn w:val="Normal"/>
    <w:link w:val="BodyTextIndentChar"/>
    <w:rsid w:val="000B3942"/>
    <w:pPr>
      <w:tabs>
        <w:tab w:val="left" w:pos="540"/>
      </w:tabs>
      <w:spacing w:after="0" w:line="240" w:lineRule="auto"/>
      <w:ind w:left="540"/>
      <w:jc w:val="both"/>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0B3942"/>
    <w:rPr>
      <w:rFonts w:ascii="Times New Roman" w:eastAsia="SimSun" w:hAnsi="Times New Roman" w:cs="Times New Roman"/>
      <w:sz w:val="24"/>
      <w:szCs w:val="24"/>
      <w:lang w:eastAsia="zh-CN"/>
    </w:rPr>
  </w:style>
  <w:style w:type="paragraph" w:styleId="BodyText2">
    <w:name w:val="Body Text 2"/>
    <w:basedOn w:val="Normal"/>
    <w:link w:val="BodyText2Char"/>
    <w:rsid w:val="000B3942"/>
    <w:pPr>
      <w:widowControl w:val="0"/>
      <w:overflowPunct w:val="0"/>
      <w:autoSpaceDE w:val="0"/>
      <w:autoSpaceDN w:val="0"/>
      <w:adjustRightInd w:val="0"/>
      <w:spacing w:after="0" w:line="480" w:lineRule="auto"/>
      <w:ind w:firstLine="540"/>
      <w:jc w:val="both"/>
      <w:textAlignment w:val="baseline"/>
    </w:pPr>
    <w:rPr>
      <w:rFonts w:ascii="Times New Roman" w:eastAsia="SimSun" w:hAnsi="Times New Roman" w:cs="Times New Roman"/>
      <w:noProof/>
      <w:sz w:val="32"/>
      <w:szCs w:val="20"/>
    </w:rPr>
  </w:style>
  <w:style w:type="character" w:customStyle="1" w:styleId="BodyText2Char">
    <w:name w:val="Body Text 2 Char"/>
    <w:basedOn w:val="DefaultParagraphFont"/>
    <w:link w:val="BodyText2"/>
    <w:rsid w:val="000B3942"/>
    <w:rPr>
      <w:rFonts w:ascii="Times New Roman" w:eastAsia="SimSun" w:hAnsi="Times New Roman" w:cs="Times New Roman"/>
      <w:noProof/>
      <w:sz w:val="32"/>
    </w:rPr>
  </w:style>
  <w:style w:type="paragraph" w:styleId="BodyTextIndent2">
    <w:name w:val="Body Text Indent 2"/>
    <w:basedOn w:val="Normal"/>
    <w:link w:val="BodyTextIndent2Char"/>
    <w:rsid w:val="000B3942"/>
    <w:pPr>
      <w:widowControl w:val="0"/>
      <w:spacing w:after="0" w:line="540" w:lineRule="exact"/>
      <w:ind w:left="900" w:hanging="900"/>
      <w:jc w:val="both"/>
    </w:pPr>
    <w:rPr>
      <w:rFonts w:ascii="Times New Roman" w:eastAsia="SimSun" w:hAnsi="Times New Roman" w:cs="Times New Roman"/>
      <w:b/>
      <w:bCs/>
    </w:rPr>
  </w:style>
  <w:style w:type="character" w:customStyle="1" w:styleId="BodyTextIndent2Char">
    <w:name w:val="Body Text Indent 2 Char"/>
    <w:basedOn w:val="DefaultParagraphFont"/>
    <w:link w:val="BodyTextIndent2"/>
    <w:rsid w:val="000B3942"/>
    <w:rPr>
      <w:rFonts w:ascii="Times New Roman" w:eastAsia="SimSun" w:hAnsi="Times New Roman" w:cs="Times New Roman"/>
      <w:b/>
      <w:bCs/>
      <w:sz w:val="24"/>
      <w:szCs w:val="24"/>
    </w:rPr>
  </w:style>
  <w:style w:type="paragraph" w:customStyle="1" w:styleId="ydzdzah">
    <w:name w:val="yâdzdzah"/>
    <w:basedOn w:val="Normal"/>
    <w:rsid w:val="000B3942"/>
    <w:pPr>
      <w:widowControl w:val="0"/>
      <w:tabs>
        <w:tab w:val="num" w:pos="1440"/>
      </w:tabs>
      <w:spacing w:after="0" w:line="380" w:lineRule="exact"/>
      <w:ind w:left="1440" w:right="516" w:hanging="360"/>
      <w:jc w:val="both"/>
    </w:pPr>
    <w:rPr>
      <w:rFonts w:ascii="Times New Roman" w:eastAsia="SimSun" w:hAnsi="Times New Roman" w:cs="Times New Roman"/>
      <w:lang w:val="sv-SE"/>
    </w:rPr>
  </w:style>
  <w:style w:type="paragraph" w:styleId="BodyText">
    <w:name w:val="Body Text"/>
    <w:basedOn w:val="Normal"/>
    <w:link w:val="BodyTextChar"/>
    <w:rsid w:val="000B3942"/>
    <w:pPr>
      <w:spacing w:after="0" w:line="240" w:lineRule="auto"/>
      <w:jc w:val="right"/>
    </w:pPr>
    <w:rPr>
      <w:rFonts w:ascii="Times New Roman" w:eastAsia="SimSun" w:hAnsi="Times New Roman" w:cs="Times New Roman"/>
      <w:sz w:val="32"/>
      <w:szCs w:val="32"/>
      <w:lang w:eastAsia="zh-CN"/>
    </w:rPr>
  </w:style>
  <w:style w:type="character" w:customStyle="1" w:styleId="BodyTextChar">
    <w:name w:val="Body Text Char"/>
    <w:basedOn w:val="DefaultParagraphFont"/>
    <w:link w:val="BodyText"/>
    <w:rsid w:val="000B3942"/>
    <w:rPr>
      <w:rFonts w:ascii="Times New Roman" w:eastAsia="SimSun" w:hAnsi="Times New Roman" w:cs="Times New Roman"/>
      <w:sz w:val="32"/>
      <w:szCs w:val="32"/>
      <w:lang w:eastAsia="zh-CN"/>
    </w:rPr>
  </w:style>
  <w:style w:type="paragraph" w:styleId="ListBullet">
    <w:name w:val="List Bullet"/>
    <w:basedOn w:val="Normal"/>
    <w:rsid w:val="000B3942"/>
    <w:pPr>
      <w:numPr>
        <w:numId w:val="29"/>
      </w:numPr>
      <w:spacing w:after="0" w:line="240" w:lineRule="auto"/>
    </w:pPr>
    <w:rPr>
      <w:rFonts w:ascii="Times New Roman" w:eastAsia="SimSun" w:hAnsi="Times New Roman" w:cs="Times New Roman"/>
      <w:lang w:eastAsia="zh-CN"/>
    </w:rPr>
  </w:style>
  <w:style w:type="paragraph" w:styleId="NormalWeb">
    <w:name w:val="Normal (Web)"/>
    <w:basedOn w:val="Normal"/>
    <w:uiPriority w:val="99"/>
    <w:unhideWhenUsed/>
    <w:rsid w:val="003C6A26"/>
    <w:pPr>
      <w:spacing w:before="100" w:beforeAutospacing="1" w:after="100" w:afterAutospacing="1" w:line="240" w:lineRule="auto"/>
    </w:pPr>
    <w:rPr>
      <w:rFonts w:ascii="Times New Roman" w:hAnsi="Times New Roman" w:cs="Times New Roman"/>
    </w:rPr>
  </w:style>
  <w:style w:type="character" w:styleId="HTMLCode">
    <w:name w:val="HTML Code"/>
    <w:basedOn w:val="DefaultParagraphFont"/>
    <w:uiPriority w:val="99"/>
    <w:semiHidden/>
    <w:unhideWhenUsed/>
    <w:rsid w:val="003C6A26"/>
    <w:rPr>
      <w:rFonts w:ascii="Courier New" w:eastAsia="Times New Roman" w:hAnsi="Courier New" w:cs="Courier New"/>
      <w:sz w:val="20"/>
      <w:szCs w:val="20"/>
    </w:rPr>
  </w:style>
  <w:style w:type="character" w:styleId="Strong">
    <w:name w:val="Strong"/>
    <w:basedOn w:val="DefaultParagraphFont"/>
    <w:uiPriority w:val="22"/>
    <w:qFormat/>
    <w:rsid w:val="003C6A26"/>
    <w:rPr>
      <w:b/>
      <w:bCs/>
    </w:rPr>
  </w:style>
  <w:style w:type="character" w:customStyle="1" w:styleId="flex">
    <w:name w:val="flex"/>
    <w:basedOn w:val="DefaultParagraphFont"/>
    <w:rsid w:val="00DC2FCE"/>
  </w:style>
  <w:style w:type="character" w:customStyle="1" w:styleId="text-typo-secondary">
    <w:name w:val="text-typo-secondary"/>
    <w:basedOn w:val="DefaultParagraphFont"/>
    <w:rsid w:val="00DC2FCE"/>
  </w:style>
  <w:style w:type="character" w:styleId="EndnoteReference">
    <w:name w:val="endnote reference"/>
    <w:basedOn w:val="DefaultParagraphFont"/>
    <w:uiPriority w:val="99"/>
    <w:semiHidden/>
    <w:unhideWhenUsed/>
    <w:rsid w:val="00B523EB"/>
    <w:rPr>
      <w:vertAlign w:val="superscript"/>
    </w:rPr>
  </w:style>
  <w:style w:type="paragraph" w:styleId="Bibliography">
    <w:name w:val="Bibliography"/>
    <w:basedOn w:val="Normal"/>
    <w:next w:val="Normal"/>
    <w:uiPriority w:val="37"/>
    <w:unhideWhenUsed/>
    <w:rsid w:val="003A6BAF"/>
    <w:pPr>
      <w:spacing w:after="0" w:line="240" w:lineRule="auto"/>
      <w:ind w:left="720" w:hanging="720"/>
    </w:pPr>
  </w:style>
  <w:style w:type="character" w:styleId="Hyperlink">
    <w:name w:val="Hyperlink"/>
    <w:basedOn w:val="DefaultParagraphFont"/>
    <w:uiPriority w:val="99"/>
    <w:unhideWhenUsed/>
    <w:rsid w:val="003A6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6369">
      <w:bodyDiv w:val="1"/>
      <w:marLeft w:val="0"/>
      <w:marRight w:val="0"/>
      <w:marTop w:val="0"/>
      <w:marBottom w:val="0"/>
      <w:divBdr>
        <w:top w:val="none" w:sz="0" w:space="0" w:color="auto"/>
        <w:left w:val="none" w:sz="0" w:space="0" w:color="auto"/>
        <w:bottom w:val="none" w:sz="0" w:space="0" w:color="auto"/>
        <w:right w:val="none" w:sz="0" w:space="0" w:color="auto"/>
      </w:divBdr>
    </w:div>
    <w:div w:id="1453477855">
      <w:bodyDiv w:val="1"/>
      <w:marLeft w:val="0"/>
      <w:marRight w:val="0"/>
      <w:marTop w:val="0"/>
      <w:marBottom w:val="0"/>
      <w:divBdr>
        <w:top w:val="none" w:sz="0" w:space="0" w:color="auto"/>
        <w:left w:val="none" w:sz="0" w:space="0" w:color="auto"/>
        <w:bottom w:val="none" w:sz="0" w:space="0" w:color="auto"/>
        <w:right w:val="none" w:sz="0" w:space="0" w:color="auto"/>
      </w:divBdr>
      <w:divsChild>
        <w:div w:id="1678073976">
          <w:marLeft w:val="0"/>
          <w:marRight w:val="0"/>
          <w:marTop w:val="0"/>
          <w:marBottom w:val="0"/>
          <w:divBdr>
            <w:top w:val="single" w:sz="2" w:space="0" w:color="E4E6E8"/>
            <w:left w:val="single" w:sz="2" w:space="0" w:color="E4E6E8"/>
            <w:bottom w:val="single" w:sz="2" w:space="0" w:color="E4E6E8"/>
            <w:right w:val="single" w:sz="2" w:space="0" w:color="E4E6E8"/>
          </w:divBdr>
          <w:divsChild>
            <w:div w:id="1230773463">
              <w:marLeft w:val="0"/>
              <w:marRight w:val="0"/>
              <w:marTop w:val="0"/>
              <w:marBottom w:val="0"/>
              <w:divBdr>
                <w:top w:val="single" w:sz="2" w:space="0" w:color="E4E6E8"/>
                <w:left w:val="single" w:sz="2" w:space="0" w:color="E4E6E8"/>
                <w:bottom w:val="single" w:sz="2" w:space="0" w:color="E4E6E8"/>
                <w:right w:val="single" w:sz="2" w:space="0" w:color="E4E6E8"/>
              </w:divBdr>
              <w:divsChild>
                <w:div w:id="909970992">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902375473">
              <w:marLeft w:val="0"/>
              <w:marRight w:val="0"/>
              <w:marTop w:val="0"/>
              <w:marBottom w:val="0"/>
              <w:divBdr>
                <w:top w:val="single" w:sz="2" w:space="0" w:color="E4E6E8"/>
                <w:left w:val="single" w:sz="2" w:space="0" w:color="E4E6E8"/>
                <w:bottom w:val="single" w:sz="2" w:space="0" w:color="E4E6E8"/>
                <w:right w:val="single" w:sz="2" w:space="0" w:color="E4E6E8"/>
              </w:divBdr>
              <w:divsChild>
                <w:div w:id="1456870527">
                  <w:marLeft w:val="0"/>
                  <w:marRight w:val="0"/>
                  <w:marTop w:val="0"/>
                  <w:marBottom w:val="0"/>
                  <w:divBdr>
                    <w:top w:val="single" w:sz="2" w:space="0" w:color="E4E6E8"/>
                    <w:left w:val="single" w:sz="2" w:space="0" w:color="E4E6E8"/>
                    <w:bottom w:val="single" w:sz="2" w:space="0" w:color="E4E6E8"/>
                    <w:right w:val="single" w:sz="2" w:space="0" w:color="E4E6E8"/>
                  </w:divBdr>
                  <w:divsChild>
                    <w:div w:id="2055814160">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583490729">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353916777">
          <w:marLeft w:val="0"/>
          <w:marRight w:val="0"/>
          <w:marTop w:val="0"/>
          <w:marBottom w:val="0"/>
          <w:divBdr>
            <w:top w:val="single" w:sz="2" w:space="0" w:color="E4E6E8"/>
            <w:left w:val="single" w:sz="2" w:space="0" w:color="E4E6E8"/>
            <w:bottom w:val="single" w:sz="2" w:space="0" w:color="E4E6E8"/>
            <w:right w:val="single" w:sz="2" w:space="0" w:color="E4E6E8"/>
          </w:divBdr>
          <w:divsChild>
            <w:div w:id="178395770">
              <w:marLeft w:val="0"/>
              <w:marRight w:val="0"/>
              <w:marTop w:val="0"/>
              <w:marBottom w:val="0"/>
              <w:divBdr>
                <w:top w:val="single" w:sz="2" w:space="0" w:color="E4E6E8"/>
                <w:left w:val="single" w:sz="2" w:space="0" w:color="E4E6E8"/>
                <w:bottom w:val="single" w:sz="2" w:space="0" w:color="E4E6E8"/>
                <w:right w:val="single" w:sz="2" w:space="0" w:color="E4E6E8"/>
              </w:divBdr>
              <w:divsChild>
                <w:div w:id="364646458">
                  <w:marLeft w:val="0"/>
                  <w:marRight w:val="0"/>
                  <w:marTop w:val="0"/>
                  <w:marBottom w:val="0"/>
                  <w:divBdr>
                    <w:top w:val="single" w:sz="2" w:space="0" w:color="E4E6E8"/>
                    <w:left w:val="single" w:sz="2" w:space="0" w:color="E4E6E8"/>
                    <w:bottom w:val="single" w:sz="2" w:space="0" w:color="E4E6E8"/>
                    <w:right w:val="single" w:sz="2" w:space="0" w:color="E4E6E8"/>
                  </w:divBdr>
                  <w:divsChild>
                    <w:div w:id="212348912">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560E-4C04-4974-B2CD-93AF3687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lppi</dc:creator>
  <cp:lastModifiedBy>gelegar shifin</cp:lastModifiedBy>
  <cp:revision>14</cp:revision>
  <cp:lastPrinted>2015-01-02T13:43:00Z</cp:lastPrinted>
  <dcterms:created xsi:type="dcterms:W3CDTF">2024-06-09T13:10:00Z</dcterms:created>
  <dcterms:modified xsi:type="dcterms:W3CDTF">2024-09-18T03:35:00Z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id="ADEjw652"/&gt;&lt;style id="http://www.zotero.org/styles/chicago-fullnote-bibliography" locale="en-GB" hasBibliography="1" bibliographyStyleHasBeenSet="1"/&gt;&lt;prefs&gt;&lt;pref name="fieldType" value="Field"/&gt;</vt:lpwstr>
  </property>
  <property fmtid="{D5CDD505-2E9C-101B-9397-08002B2CF9AE}" pid="3" name="ZOTERO_PREF_2">
    <vt:lpwstr>&lt;pref name="noteType" value="1"/&gt;&lt;pref name="delayCitationUpdates" value="true"/&gt;&lt;pref name="dontAskDelayCitationUpdates" value="true"/&gt;&lt;/prefs&gt;&lt;/data&gt;</vt:lpwstr>
  </property>
</Properties>
</file>